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0" w:rsidRPr="00C02C2C" w:rsidRDefault="00E664D0">
      <w:pPr>
        <w:rPr>
          <w:lang w:val="en-GB"/>
        </w:rPr>
      </w:pPr>
      <w:r w:rsidRPr="00C02C2C">
        <w:rPr>
          <w:noProof/>
          <w:lang w:eastAsia="sk-SK"/>
        </w:rPr>
        <w:drawing>
          <wp:anchor distT="0" distB="0" distL="114300" distR="114300" simplePos="0" relativeHeight="251659264" behindDoc="0" locked="1" layoutInCell="1" allowOverlap="1" wp14:anchorId="5E3D9C1B" wp14:editId="7C9AAF51">
            <wp:simplePos x="0" y="0"/>
            <wp:positionH relativeFrom="column">
              <wp:posOffset>49530</wp:posOffset>
            </wp:positionH>
            <wp:positionV relativeFrom="paragraph">
              <wp:posOffset>381635</wp:posOffset>
            </wp:positionV>
            <wp:extent cx="1219200" cy="955040"/>
            <wp:effectExtent l="0" t="0" r="0" b="0"/>
            <wp:wrapSquare wrapText="bothSides"/>
            <wp:docPr id="18" name="Obrázok 3" descr="logo_GRE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REYSCAL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604" w:rsidRPr="00C02C2C">
        <w:rPr>
          <w:lang w:val="en-GB"/>
        </w:rPr>
        <w:t xml:space="preserve">  </w:t>
      </w:r>
    </w:p>
    <w:p w:rsidR="005C2CA5" w:rsidRPr="00C02C2C" w:rsidRDefault="005C2CA5">
      <w:pPr>
        <w:rPr>
          <w:lang w:val="en-GB"/>
        </w:rPr>
      </w:pPr>
      <w:r w:rsidRPr="00C02C2C">
        <w:rPr>
          <w:lang w:val="en-GB"/>
        </w:rPr>
        <w:t xml:space="preserve">                                                                                   </w:t>
      </w:r>
      <w:r w:rsidRPr="00C02C2C">
        <w:rPr>
          <w:noProof/>
          <w:lang w:eastAsia="sk-SK"/>
        </w:rPr>
        <w:drawing>
          <wp:inline distT="0" distB="0" distL="0" distR="0" wp14:anchorId="5544ABC3" wp14:editId="467E4310">
            <wp:extent cx="1148861" cy="1078523"/>
            <wp:effectExtent l="0" t="0" r="0" b="7620"/>
            <wp:docPr id="2" name="Obrázok 19" descr="LOGO C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CB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61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D0" w:rsidRPr="00C02C2C" w:rsidRDefault="00E664D0" w:rsidP="00366E7E">
      <w:pPr>
        <w:ind w:right="-284"/>
        <w:rPr>
          <w:lang w:val="en-GB"/>
        </w:rPr>
      </w:pPr>
      <w:r w:rsidRPr="00C02C2C">
        <w:rPr>
          <w:lang w:val="en-GB"/>
        </w:rPr>
        <w:t xml:space="preserve">                                                </w:t>
      </w:r>
      <w:r w:rsidR="00AB6604" w:rsidRPr="00C02C2C">
        <w:rPr>
          <w:lang w:val="en-GB"/>
        </w:rPr>
        <w:t xml:space="preserve">                        </w:t>
      </w:r>
      <w:r w:rsidRPr="00C02C2C">
        <w:rPr>
          <w:lang w:val="en-GB"/>
        </w:rPr>
        <w:t xml:space="preserve">   </w:t>
      </w:r>
      <w:r w:rsidR="00913AC7" w:rsidRPr="00C02C2C">
        <w:rPr>
          <w:lang w:val="en-GB"/>
        </w:rPr>
        <w:t xml:space="preserve">          </w:t>
      </w:r>
      <w:r w:rsidRPr="00C02C2C">
        <w:rPr>
          <w:lang w:val="en-GB"/>
        </w:rPr>
        <w:t xml:space="preserve">                                                                                                                                                                    </w:t>
      </w:r>
    </w:p>
    <w:p w:rsidR="00366E7E" w:rsidRPr="00C02C2C" w:rsidRDefault="00366E7E" w:rsidP="00CE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3296"/>
        <w:spacing w:after="120" w:line="300" w:lineRule="exact"/>
        <w:jc w:val="center"/>
        <w:rPr>
          <w:b/>
          <w:i/>
          <w:sz w:val="36"/>
          <w:szCs w:val="36"/>
          <w:lang w:val="en-GB"/>
        </w:rPr>
      </w:pPr>
    </w:p>
    <w:p w:rsidR="00E664D0" w:rsidRPr="00C02C2C" w:rsidRDefault="00E664D0" w:rsidP="00CE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3296"/>
        <w:spacing w:after="120" w:line="300" w:lineRule="exact"/>
        <w:jc w:val="center"/>
        <w:rPr>
          <w:b/>
          <w:i/>
          <w:color w:val="FFFFFF" w:themeColor="background1"/>
          <w:sz w:val="36"/>
          <w:szCs w:val="36"/>
          <w:lang w:val="en-GB"/>
        </w:rPr>
      </w:pPr>
      <w:r w:rsidRPr="00C02C2C">
        <w:rPr>
          <w:b/>
          <w:i/>
          <w:color w:val="FFFFFF" w:themeColor="background1"/>
          <w:sz w:val="36"/>
          <w:szCs w:val="36"/>
          <w:lang w:val="en-GB"/>
        </w:rPr>
        <w:t>INTOSAI Capacity Building Committee</w:t>
      </w:r>
    </w:p>
    <w:p w:rsidR="00E664D0" w:rsidRPr="00C02C2C" w:rsidRDefault="00E664D0" w:rsidP="00CE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3296"/>
        <w:spacing w:after="120" w:line="300" w:lineRule="exact"/>
        <w:jc w:val="center"/>
        <w:rPr>
          <w:b/>
          <w:color w:val="FFFFFF" w:themeColor="background1"/>
          <w:sz w:val="36"/>
          <w:szCs w:val="36"/>
          <w:lang w:val="en-GB"/>
        </w:rPr>
      </w:pPr>
    </w:p>
    <w:p w:rsidR="00FA387E" w:rsidRPr="00C02C2C" w:rsidRDefault="00E664D0" w:rsidP="0079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3296"/>
        <w:spacing w:after="120" w:line="300" w:lineRule="exact"/>
        <w:jc w:val="center"/>
        <w:rPr>
          <w:b/>
          <w:bCs/>
          <w:color w:val="FFFFFF" w:themeColor="background1"/>
          <w:sz w:val="36"/>
          <w:szCs w:val="36"/>
          <w:lang w:val="en-GB"/>
        </w:rPr>
      </w:pPr>
      <w:r w:rsidRPr="00C02C2C">
        <w:rPr>
          <w:b/>
          <w:bCs/>
          <w:color w:val="FFFFFF" w:themeColor="background1"/>
          <w:sz w:val="36"/>
          <w:szCs w:val="36"/>
          <w:lang w:val="en-GB"/>
        </w:rPr>
        <w:t>Sub-Committee</w:t>
      </w:r>
      <w:r w:rsidR="00672DE1" w:rsidRPr="00C02C2C">
        <w:rPr>
          <w:b/>
          <w:bCs/>
          <w:color w:val="FFFFFF" w:themeColor="background1"/>
          <w:sz w:val="36"/>
          <w:szCs w:val="36"/>
          <w:lang w:val="en-GB"/>
        </w:rPr>
        <w:t xml:space="preserve"> on Pe</w:t>
      </w:r>
      <w:r w:rsidR="007334D8" w:rsidRPr="00C02C2C">
        <w:rPr>
          <w:b/>
          <w:bCs/>
          <w:color w:val="FFFFFF" w:themeColor="background1"/>
          <w:sz w:val="36"/>
          <w:szCs w:val="36"/>
          <w:lang w:val="en-GB"/>
        </w:rPr>
        <w:t>e</w:t>
      </w:r>
      <w:r w:rsidR="00672DE1" w:rsidRPr="00C02C2C">
        <w:rPr>
          <w:b/>
          <w:bCs/>
          <w:color w:val="FFFFFF" w:themeColor="background1"/>
          <w:sz w:val="36"/>
          <w:szCs w:val="36"/>
          <w:lang w:val="en-GB"/>
        </w:rPr>
        <w:t>r Review</w:t>
      </w:r>
    </w:p>
    <w:p w:rsidR="007900A5" w:rsidRPr="00C02C2C" w:rsidRDefault="007900A5" w:rsidP="00FA387E">
      <w:pPr>
        <w:shd w:val="clear" w:color="auto" w:fill="FFFFFF" w:themeFill="background1"/>
        <w:spacing w:before="240" w:after="240" w:line="480" w:lineRule="auto"/>
        <w:jc w:val="center"/>
        <w:rPr>
          <w:b/>
          <w:bCs/>
          <w:i/>
          <w:color w:val="963296"/>
          <w:sz w:val="48"/>
          <w:szCs w:val="48"/>
          <w:lang w:val="en-GB"/>
        </w:rPr>
      </w:pPr>
    </w:p>
    <w:p w:rsidR="00FA387E" w:rsidRPr="00C02C2C" w:rsidRDefault="00B57492" w:rsidP="00FA387E">
      <w:pPr>
        <w:shd w:val="clear" w:color="auto" w:fill="FFFFFF" w:themeFill="background1"/>
        <w:spacing w:before="240" w:after="240" w:line="480" w:lineRule="auto"/>
        <w:jc w:val="center"/>
        <w:rPr>
          <w:b/>
          <w:bCs/>
          <w:i/>
          <w:color w:val="963296"/>
          <w:sz w:val="48"/>
          <w:szCs w:val="48"/>
          <w:lang w:val="en-GB"/>
        </w:rPr>
      </w:pPr>
      <w:r>
        <w:rPr>
          <w:b/>
          <w:bCs/>
          <w:i/>
          <w:color w:val="963296"/>
          <w:sz w:val="48"/>
          <w:szCs w:val="48"/>
          <w:lang w:val="en-GB"/>
        </w:rPr>
        <w:t>Progress r</w:t>
      </w:r>
      <w:r w:rsidR="00FA387E" w:rsidRPr="00C02C2C">
        <w:rPr>
          <w:b/>
          <w:bCs/>
          <w:i/>
          <w:color w:val="963296"/>
          <w:sz w:val="48"/>
          <w:szCs w:val="48"/>
          <w:lang w:val="en-GB"/>
        </w:rPr>
        <w:t>eport</w:t>
      </w:r>
    </w:p>
    <w:p w:rsidR="00E664D0" w:rsidRPr="00C02C2C" w:rsidRDefault="00B57492" w:rsidP="007900A5">
      <w:pPr>
        <w:shd w:val="clear" w:color="auto" w:fill="FFFFFF" w:themeFill="background1"/>
        <w:spacing w:after="120" w:line="300" w:lineRule="exact"/>
        <w:jc w:val="center"/>
        <w:rPr>
          <w:b/>
          <w:bCs/>
          <w:i/>
          <w:color w:val="963296"/>
          <w:sz w:val="36"/>
          <w:szCs w:val="36"/>
          <w:lang w:val="en-GB"/>
        </w:rPr>
      </w:pPr>
      <w:proofErr w:type="gramStart"/>
      <w:r>
        <w:rPr>
          <w:b/>
          <w:bCs/>
          <w:i/>
          <w:color w:val="963296"/>
          <w:sz w:val="36"/>
          <w:szCs w:val="36"/>
          <w:lang w:val="en-GB"/>
        </w:rPr>
        <w:t>to</w:t>
      </w:r>
      <w:proofErr w:type="gramEnd"/>
      <w:r>
        <w:rPr>
          <w:b/>
          <w:bCs/>
          <w:i/>
          <w:color w:val="963296"/>
          <w:sz w:val="36"/>
          <w:szCs w:val="36"/>
          <w:lang w:val="en-GB"/>
        </w:rPr>
        <w:t xml:space="preserve"> </w:t>
      </w:r>
      <w:r w:rsidR="00FA387E" w:rsidRPr="00C02C2C">
        <w:rPr>
          <w:b/>
          <w:bCs/>
          <w:i/>
          <w:color w:val="963296"/>
          <w:sz w:val="36"/>
          <w:szCs w:val="36"/>
          <w:lang w:val="en-GB"/>
        </w:rPr>
        <w:t>CBC Steering Committee meeting</w:t>
      </w:r>
      <w:r w:rsidR="00F934DA" w:rsidRPr="00C02C2C">
        <w:rPr>
          <w:b/>
          <w:bCs/>
          <w:i/>
          <w:color w:val="963296"/>
          <w:sz w:val="36"/>
          <w:szCs w:val="36"/>
          <w:lang w:val="en-GB"/>
        </w:rPr>
        <w:t xml:space="preserve"> 2016</w:t>
      </w:r>
    </w:p>
    <w:p w:rsidR="00E664D0" w:rsidRPr="00C02C2C" w:rsidRDefault="007900A5" w:rsidP="007900A5">
      <w:pPr>
        <w:shd w:val="clear" w:color="auto" w:fill="FFFFFF" w:themeFill="background1"/>
        <w:spacing w:before="240" w:after="240" w:line="480" w:lineRule="auto"/>
        <w:jc w:val="center"/>
        <w:rPr>
          <w:b/>
          <w:bCs/>
          <w:i/>
          <w:color w:val="963296"/>
          <w:sz w:val="48"/>
          <w:szCs w:val="48"/>
          <w:lang w:val="en-GB"/>
        </w:rPr>
      </w:pPr>
      <w:r w:rsidRPr="00C02C2C">
        <w:rPr>
          <w:noProof/>
          <w:color w:val="1F497D"/>
          <w:lang w:eastAsia="sk-SK"/>
        </w:rPr>
        <w:drawing>
          <wp:inline distT="0" distB="0" distL="0" distR="0" wp14:anchorId="74DF93E0" wp14:editId="4038FB20">
            <wp:extent cx="2749550" cy="2901950"/>
            <wp:effectExtent l="0" t="0" r="0" b="0"/>
            <wp:docPr id="1" name="Obrázok 1" descr="cid:image004.png@01D1D5E0.6635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5E0.663588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D0" w:rsidRPr="00C02C2C" w:rsidRDefault="00E664D0" w:rsidP="00CE06F0">
      <w:pPr>
        <w:shd w:val="clear" w:color="auto" w:fill="FFFFFF" w:themeFill="background1"/>
        <w:rPr>
          <w:color w:val="963296"/>
          <w:lang w:val="en-GB"/>
        </w:rPr>
      </w:pPr>
    </w:p>
    <w:p w:rsidR="00696709" w:rsidRPr="00C02C2C" w:rsidRDefault="00B57492" w:rsidP="00CE06F0">
      <w:pPr>
        <w:shd w:val="clear" w:color="auto" w:fill="FFFFFF" w:themeFill="background1"/>
        <w:tabs>
          <w:tab w:val="left" w:pos="5040"/>
        </w:tabs>
        <w:spacing w:after="120" w:line="300" w:lineRule="exact"/>
        <w:jc w:val="center"/>
        <w:rPr>
          <w:b/>
          <w:color w:val="963296"/>
          <w:sz w:val="32"/>
          <w:szCs w:val="32"/>
          <w:lang w:val="en-GB"/>
        </w:rPr>
      </w:pPr>
      <w:proofErr w:type="gramStart"/>
      <w:r>
        <w:rPr>
          <w:b/>
          <w:color w:val="963296"/>
          <w:sz w:val="32"/>
          <w:szCs w:val="32"/>
          <w:lang w:val="en-GB"/>
        </w:rPr>
        <w:t>by</w:t>
      </w:r>
      <w:proofErr w:type="gramEnd"/>
      <w:r>
        <w:rPr>
          <w:b/>
          <w:color w:val="963296"/>
          <w:sz w:val="32"/>
          <w:szCs w:val="32"/>
          <w:lang w:val="en-GB"/>
        </w:rPr>
        <w:t xml:space="preserve"> </w:t>
      </w:r>
      <w:r w:rsidR="00696709" w:rsidRPr="00C02C2C">
        <w:rPr>
          <w:b/>
          <w:color w:val="963296"/>
          <w:sz w:val="32"/>
          <w:szCs w:val="32"/>
          <w:lang w:val="en-GB"/>
        </w:rPr>
        <w:t xml:space="preserve">Supreme Audit Office of the Slovak Republic </w:t>
      </w:r>
    </w:p>
    <w:p w:rsidR="007900A5" w:rsidRPr="00C02C2C" w:rsidRDefault="007900A5" w:rsidP="00696709">
      <w:pPr>
        <w:tabs>
          <w:tab w:val="left" w:pos="5040"/>
        </w:tabs>
        <w:spacing w:after="120" w:line="300" w:lineRule="exact"/>
        <w:jc w:val="both"/>
        <w:rPr>
          <w:lang w:val="en-GB"/>
        </w:rPr>
      </w:pPr>
    </w:p>
    <w:p w:rsidR="0098429A" w:rsidRPr="00C02C2C" w:rsidRDefault="0098429A" w:rsidP="00696709">
      <w:pPr>
        <w:tabs>
          <w:tab w:val="left" w:pos="5040"/>
        </w:tabs>
        <w:spacing w:after="120" w:line="300" w:lineRule="exact"/>
        <w:jc w:val="both"/>
        <w:rPr>
          <w:lang w:val="en-GB"/>
        </w:rPr>
      </w:pPr>
    </w:p>
    <w:p w:rsidR="00696709" w:rsidRPr="00C02C2C" w:rsidRDefault="00696709" w:rsidP="00B1018A">
      <w:pPr>
        <w:shd w:val="clear" w:color="auto" w:fill="963296"/>
        <w:spacing w:after="120" w:line="300" w:lineRule="exact"/>
        <w:jc w:val="both"/>
        <w:rPr>
          <w:b/>
          <w:color w:val="FFFFFF" w:themeColor="background1"/>
          <w:lang w:val="en-GB"/>
        </w:rPr>
      </w:pPr>
      <w:r w:rsidRPr="00C02C2C">
        <w:rPr>
          <w:b/>
          <w:color w:val="FFFFFF" w:themeColor="background1"/>
          <w:lang w:val="en-GB"/>
        </w:rPr>
        <w:t xml:space="preserve">I. Tasks </w:t>
      </w:r>
    </w:p>
    <w:p w:rsidR="00696709" w:rsidRPr="00C02C2C" w:rsidRDefault="00672DE1" w:rsidP="00696709">
      <w:pPr>
        <w:spacing w:after="120" w:line="300" w:lineRule="exact"/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 xml:space="preserve">The </w:t>
      </w:r>
      <w:r w:rsidR="00696709" w:rsidRPr="00C02C2C">
        <w:rPr>
          <w:sz w:val="22"/>
          <w:lang w:val="en-GB"/>
        </w:rPr>
        <w:t>INTOSAI Strategic Plan 2011 – 2016</w:t>
      </w:r>
      <w:r w:rsidR="00806D38" w:rsidRPr="00C02C2C">
        <w:rPr>
          <w:sz w:val="22"/>
          <w:lang w:val="en-GB"/>
        </w:rPr>
        <w:t>,</w:t>
      </w:r>
      <w:r w:rsidR="00D87EE7" w:rsidRPr="00C02C2C">
        <w:rPr>
          <w:sz w:val="22"/>
          <w:lang w:val="en-GB"/>
        </w:rPr>
        <w:t xml:space="preserve"> </w:t>
      </w:r>
      <w:r w:rsidR="001047C6" w:rsidRPr="00C02C2C">
        <w:rPr>
          <w:sz w:val="22"/>
          <w:lang w:val="en-GB"/>
        </w:rPr>
        <w:t>Goal 2 set</w:t>
      </w:r>
      <w:r w:rsidRPr="00C02C2C">
        <w:rPr>
          <w:sz w:val="22"/>
          <w:lang w:val="en-GB"/>
        </w:rPr>
        <w:t xml:space="preserve"> the</w:t>
      </w:r>
      <w:r w:rsidR="00990953" w:rsidRPr="00C02C2C">
        <w:rPr>
          <w:sz w:val="22"/>
          <w:lang w:val="en-GB"/>
        </w:rPr>
        <w:t xml:space="preserve"> </w:t>
      </w:r>
      <w:r w:rsidR="00990953" w:rsidRPr="00C02C2C">
        <w:rPr>
          <w:i/>
          <w:sz w:val="22"/>
          <w:lang w:val="en-GB"/>
        </w:rPr>
        <w:t>Sub-</w:t>
      </w:r>
      <w:r w:rsidR="0058223B" w:rsidRPr="00C02C2C">
        <w:rPr>
          <w:i/>
          <w:sz w:val="22"/>
          <w:lang w:val="en-GB"/>
        </w:rPr>
        <w:t>Committee</w:t>
      </w:r>
      <w:r w:rsidR="00AE4814" w:rsidRPr="00C02C2C">
        <w:rPr>
          <w:i/>
          <w:sz w:val="22"/>
          <w:lang w:val="en-GB"/>
        </w:rPr>
        <w:t xml:space="preserve"> on</w:t>
      </w:r>
      <w:r w:rsidRPr="00C02C2C">
        <w:rPr>
          <w:i/>
          <w:sz w:val="22"/>
          <w:lang w:val="en-GB"/>
        </w:rPr>
        <w:t xml:space="preserve"> Peer Review</w:t>
      </w:r>
      <w:r w:rsidR="00D71F69" w:rsidRPr="00C02C2C">
        <w:rPr>
          <w:i/>
          <w:sz w:val="22"/>
          <w:lang w:val="en-GB"/>
        </w:rPr>
        <w:t xml:space="preserve"> </w:t>
      </w:r>
      <w:r w:rsidRPr="00C02C2C">
        <w:rPr>
          <w:sz w:val="22"/>
          <w:lang w:val="en-GB"/>
        </w:rPr>
        <w:t>tasks</w:t>
      </w:r>
      <w:r w:rsidR="00806D38" w:rsidRPr="00C02C2C">
        <w:rPr>
          <w:sz w:val="22"/>
          <w:lang w:val="en-GB"/>
        </w:rPr>
        <w:t xml:space="preserve"> as to:</w:t>
      </w:r>
    </w:p>
    <w:p w:rsidR="00696709" w:rsidRPr="00C02C2C" w:rsidRDefault="00696709" w:rsidP="008970E6">
      <w:pPr>
        <w:pStyle w:val="Bezriadkovania"/>
        <w:numPr>
          <w:ilvl w:val="0"/>
          <w:numId w:val="6"/>
        </w:numPr>
        <w:rPr>
          <w:lang w:val="en-GB"/>
        </w:rPr>
      </w:pPr>
      <w:r w:rsidRPr="00C02C2C">
        <w:rPr>
          <w:lang w:val="en-GB"/>
        </w:rPr>
        <w:t>continue to assess and document existing peer review arrangements in the INTOSAI community;</w:t>
      </w:r>
    </w:p>
    <w:p w:rsidR="00696709" w:rsidRPr="00C02C2C" w:rsidRDefault="00696709" w:rsidP="008970E6">
      <w:pPr>
        <w:pStyle w:val="Bezriadkovania"/>
        <w:numPr>
          <w:ilvl w:val="0"/>
          <w:numId w:val="6"/>
        </w:numPr>
        <w:rPr>
          <w:lang w:val="en-GB"/>
        </w:rPr>
      </w:pPr>
      <w:r w:rsidRPr="00C02C2C">
        <w:rPr>
          <w:lang w:val="en-GB"/>
        </w:rPr>
        <w:t xml:space="preserve">continue to </w:t>
      </w:r>
      <w:r w:rsidR="00672DE1" w:rsidRPr="00C02C2C">
        <w:rPr>
          <w:lang w:val="en-GB"/>
        </w:rPr>
        <w:t>foster an environment where</w:t>
      </w:r>
      <w:r w:rsidRPr="00C02C2C">
        <w:rPr>
          <w:lang w:val="en-GB"/>
        </w:rPr>
        <w:t xml:space="preserve"> voluntary reviews are seen as beneficial to </w:t>
      </w:r>
      <w:r w:rsidR="00672DE1" w:rsidRPr="00C02C2C">
        <w:rPr>
          <w:lang w:val="en-GB"/>
        </w:rPr>
        <w:t xml:space="preserve">all peer reviewing and reviewed SAIs </w:t>
      </w:r>
      <w:r w:rsidRPr="00C02C2C">
        <w:rPr>
          <w:lang w:val="en-GB"/>
        </w:rPr>
        <w:t>and establish mechanisms for initiating peer reviews;</w:t>
      </w:r>
    </w:p>
    <w:p w:rsidR="00696709" w:rsidRPr="00C02C2C" w:rsidRDefault="00696709" w:rsidP="008970E6">
      <w:pPr>
        <w:pStyle w:val="Bezriadkovania"/>
        <w:numPr>
          <w:ilvl w:val="0"/>
          <w:numId w:val="6"/>
        </w:numPr>
        <w:rPr>
          <w:lang w:val="en-GB"/>
        </w:rPr>
      </w:pPr>
      <w:r w:rsidRPr="00C02C2C">
        <w:rPr>
          <w:lang w:val="en-GB"/>
        </w:rPr>
        <w:t>update the CBC guidelines on peer reviews and the developed checklist on the basis of the experience of SAIs and provide</w:t>
      </w:r>
      <w:r w:rsidR="00D55CFF" w:rsidRPr="00C02C2C">
        <w:rPr>
          <w:lang w:val="en-GB"/>
        </w:rPr>
        <w:t>s</w:t>
      </w:r>
      <w:r w:rsidRPr="00C02C2C">
        <w:rPr>
          <w:lang w:val="en-GB"/>
        </w:rPr>
        <w:t xml:space="preserve"> further good practices on voluntary peer reviews;</w:t>
      </w:r>
    </w:p>
    <w:p w:rsidR="00696709" w:rsidRPr="00C02C2C" w:rsidRDefault="00696709" w:rsidP="008970E6">
      <w:pPr>
        <w:pStyle w:val="Bezriadkovania"/>
        <w:numPr>
          <w:ilvl w:val="0"/>
          <w:numId w:val="6"/>
        </w:numPr>
        <w:rPr>
          <w:lang w:val="en-GB"/>
        </w:rPr>
      </w:pPr>
      <w:proofErr w:type="gramStart"/>
      <w:r w:rsidRPr="00C02C2C">
        <w:rPr>
          <w:lang w:val="en-GB"/>
        </w:rPr>
        <w:t>disseminate</w:t>
      </w:r>
      <w:proofErr w:type="gramEnd"/>
      <w:r w:rsidRPr="00C02C2C">
        <w:rPr>
          <w:lang w:val="en-GB"/>
        </w:rPr>
        <w:t xml:space="preserve"> the results of peer reviews,</w:t>
      </w:r>
      <w:r w:rsidR="00D87EE7" w:rsidRPr="00C02C2C">
        <w:rPr>
          <w:lang w:val="en-GB"/>
        </w:rPr>
        <w:t xml:space="preserve"> as appropriate and as agreed</w:t>
      </w:r>
      <w:r w:rsidRPr="00C02C2C">
        <w:rPr>
          <w:lang w:val="en-GB"/>
        </w:rPr>
        <w:t xml:space="preserve"> </w:t>
      </w:r>
      <w:r w:rsidR="00947F6D" w:rsidRPr="00C02C2C">
        <w:rPr>
          <w:lang w:val="en-GB"/>
        </w:rPr>
        <w:t>by participating SAIs</w:t>
      </w:r>
      <w:r w:rsidR="00C70C4F" w:rsidRPr="00C02C2C">
        <w:rPr>
          <w:lang w:val="en-GB"/>
        </w:rPr>
        <w:t>.</w:t>
      </w:r>
    </w:p>
    <w:p w:rsidR="00947F6D" w:rsidRPr="00C02C2C" w:rsidRDefault="00947F6D" w:rsidP="00947F6D">
      <w:pPr>
        <w:tabs>
          <w:tab w:val="left" w:pos="360"/>
        </w:tabs>
        <w:spacing w:after="120" w:line="300" w:lineRule="exact"/>
        <w:ind w:left="357" w:hanging="357"/>
        <w:jc w:val="both"/>
        <w:rPr>
          <w:lang w:val="en-GB"/>
        </w:rPr>
      </w:pPr>
    </w:p>
    <w:p w:rsidR="007900A5" w:rsidRPr="00C02C2C" w:rsidRDefault="007900A5" w:rsidP="00947F6D">
      <w:pPr>
        <w:tabs>
          <w:tab w:val="left" w:pos="360"/>
        </w:tabs>
        <w:spacing w:after="120" w:line="300" w:lineRule="exact"/>
        <w:ind w:left="357" w:hanging="357"/>
        <w:jc w:val="both"/>
        <w:rPr>
          <w:lang w:val="en-GB"/>
        </w:rPr>
      </w:pPr>
    </w:p>
    <w:p w:rsidR="00696709" w:rsidRPr="00C02C2C" w:rsidRDefault="00696709" w:rsidP="00B1018A">
      <w:pPr>
        <w:shd w:val="clear" w:color="auto" w:fill="963296"/>
        <w:tabs>
          <w:tab w:val="left" w:pos="360"/>
        </w:tabs>
        <w:spacing w:after="120" w:line="300" w:lineRule="exact"/>
        <w:jc w:val="both"/>
        <w:rPr>
          <w:b/>
          <w:color w:val="FFFFFF" w:themeColor="background1"/>
          <w:lang w:val="en-GB"/>
        </w:rPr>
      </w:pPr>
      <w:r w:rsidRPr="00C02C2C">
        <w:rPr>
          <w:b/>
          <w:color w:val="FFFFFF" w:themeColor="background1"/>
          <w:lang w:val="en-GB"/>
        </w:rPr>
        <w:t>I</w:t>
      </w:r>
      <w:r w:rsidRPr="00C02C2C">
        <w:rPr>
          <w:b/>
          <w:color w:val="FFFFFF" w:themeColor="background1"/>
          <w:shd w:val="clear" w:color="auto" w:fill="963296"/>
          <w:lang w:val="en-GB"/>
        </w:rPr>
        <w:t xml:space="preserve">I. Members, </w:t>
      </w:r>
      <w:r w:rsidR="00DC2AB4" w:rsidRPr="00C02C2C">
        <w:rPr>
          <w:b/>
          <w:color w:val="FFFFFF" w:themeColor="background1"/>
          <w:shd w:val="clear" w:color="auto" w:fill="963296"/>
          <w:lang w:val="en-GB"/>
        </w:rPr>
        <w:t>cooperating organisations and partners</w:t>
      </w:r>
    </w:p>
    <w:p w:rsidR="00DC2AB4" w:rsidRPr="00C02C2C" w:rsidRDefault="00696709" w:rsidP="00696709">
      <w:pPr>
        <w:tabs>
          <w:tab w:val="left" w:pos="360"/>
          <w:tab w:val="left" w:pos="1260"/>
        </w:tabs>
        <w:spacing w:after="120" w:line="300" w:lineRule="exact"/>
        <w:ind w:left="1416" w:hanging="1416"/>
        <w:jc w:val="both"/>
        <w:rPr>
          <w:lang w:val="en-GB"/>
        </w:rPr>
      </w:pPr>
      <w:r w:rsidRPr="00C02C2C">
        <w:rPr>
          <w:b/>
          <w:lang w:val="en-GB"/>
        </w:rPr>
        <w:t>Members</w:t>
      </w:r>
      <w:r w:rsidR="00DC2AB4" w:rsidRPr="00C02C2C">
        <w:rPr>
          <w:b/>
          <w:lang w:val="en-GB"/>
        </w:rPr>
        <w:t xml:space="preserve"> </w:t>
      </w:r>
      <w:r w:rsidR="00990953" w:rsidRPr="00C02C2C">
        <w:rPr>
          <w:b/>
          <w:lang w:val="en-GB"/>
        </w:rPr>
        <w:t xml:space="preserve">to date </w:t>
      </w:r>
      <w:r w:rsidR="00C70C4F" w:rsidRPr="00C02C2C">
        <w:rPr>
          <w:b/>
          <w:lang w:val="en-GB"/>
        </w:rPr>
        <w:t>(14</w:t>
      </w:r>
      <w:r w:rsidR="00DC2AB4" w:rsidRPr="00C02C2C">
        <w:rPr>
          <w:b/>
          <w:lang w:val="en-GB"/>
        </w:rPr>
        <w:t>)</w:t>
      </w:r>
      <w:r w:rsidRPr="00C02C2C">
        <w:rPr>
          <w:lang w:val="en-GB"/>
        </w:rPr>
        <w:t xml:space="preserve">: </w:t>
      </w:r>
    </w:p>
    <w:p w:rsidR="00696709" w:rsidRPr="00C02C2C" w:rsidRDefault="00696709" w:rsidP="00DC2AB4">
      <w:pPr>
        <w:tabs>
          <w:tab w:val="left" w:pos="360"/>
          <w:tab w:val="left" w:pos="1260"/>
        </w:tabs>
        <w:spacing w:after="120" w:line="300" w:lineRule="exact"/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 xml:space="preserve">Austria, Bangladesh (Vice Chair), Croatia, European Court of Auditors, Estonia, Germany, Hungary, Indonesia, Morocco, </w:t>
      </w:r>
      <w:r w:rsidR="00C70C4F" w:rsidRPr="00C02C2C">
        <w:rPr>
          <w:sz w:val="22"/>
          <w:lang w:val="en-GB"/>
        </w:rPr>
        <w:t xml:space="preserve">Peru, </w:t>
      </w:r>
      <w:r w:rsidRPr="00C02C2C">
        <w:rPr>
          <w:sz w:val="22"/>
          <w:lang w:val="en-GB"/>
        </w:rPr>
        <w:t>Poland, Slovak Republic (Chair), Sweden</w:t>
      </w:r>
      <w:r w:rsidR="003B63ED" w:rsidRPr="00C02C2C">
        <w:rPr>
          <w:sz w:val="22"/>
          <w:lang w:val="en-GB"/>
        </w:rPr>
        <w:t xml:space="preserve">, </w:t>
      </w:r>
      <w:r w:rsidRPr="00C02C2C">
        <w:rPr>
          <w:sz w:val="22"/>
          <w:lang w:val="en-GB"/>
        </w:rPr>
        <w:t xml:space="preserve">United States of America </w:t>
      </w:r>
    </w:p>
    <w:p w:rsidR="00DC2AB4" w:rsidRPr="00C02C2C" w:rsidRDefault="00DC2AB4" w:rsidP="00696709">
      <w:pPr>
        <w:tabs>
          <w:tab w:val="left" w:pos="360"/>
          <w:tab w:val="left" w:pos="1260"/>
        </w:tabs>
        <w:spacing w:after="120" w:line="300" w:lineRule="exact"/>
        <w:jc w:val="both"/>
        <w:rPr>
          <w:b/>
          <w:lang w:val="en-GB"/>
        </w:rPr>
      </w:pPr>
      <w:r w:rsidRPr="00C02C2C">
        <w:rPr>
          <w:b/>
          <w:lang w:val="en-GB"/>
        </w:rPr>
        <w:t>Cooperati</w:t>
      </w:r>
      <w:r w:rsidR="0058781C" w:rsidRPr="00C02C2C">
        <w:rPr>
          <w:b/>
          <w:lang w:val="en-GB"/>
        </w:rPr>
        <w:t>ng organisations (1</w:t>
      </w:r>
      <w:r w:rsidRPr="00C02C2C">
        <w:rPr>
          <w:b/>
          <w:lang w:val="en-GB"/>
        </w:rPr>
        <w:t>)</w:t>
      </w:r>
      <w:r w:rsidRPr="00C02C2C">
        <w:rPr>
          <w:lang w:val="en-GB"/>
        </w:rPr>
        <w:t xml:space="preserve">: </w:t>
      </w:r>
    </w:p>
    <w:p w:rsidR="00696709" w:rsidRPr="00C02C2C" w:rsidRDefault="0058781C" w:rsidP="00696709">
      <w:pPr>
        <w:tabs>
          <w:tab w:val="left" w:pos="360"/>
          <w:tab w:val="left" w:pos="1260"/>
        </w:tabs>
        <w:spacing w:after="120" w:line="300" w:lineRule="exact"/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>IDI</w:t>
      </w:r>
    </w:p>
    <w:p w:rsidR="003B63ED" w:rsidRPr="00C02C2C" w:rsidRDefault="003B63ED" w:rsidP="003B63ED">
      <w:pPr>
        <w:pStyle w:val="Bezriadkovania"/>
        <w:rPr>
          <w:i/>
          <w:sz w:val="20"/>
          <w:szCs w:val="20"/>
          <w:lang w:val="en-GB"/>
        </w:rPr>
      </w:pPr>
    </w:p>
    <w:p w:rsidR="007900A5" w:rsidRPr="00C02C2C" w:rsidRDefault="007900A5" w:rsidP="003B63ED">
      <w:pPr>
        <w:pStyle w:val="Bezriadkovania"/>
        <w:rPr>
          <w:i/>
          <w:sz w:val="20"/>
          <w:szCs w:val="20"/>
          <w:lang w:val="en-GB"/>
        </w:rPr>
      </w:pPr>
    </w:p>
    <w:p w:rsidR="00696709" w:rsidRPr="00C02C2C" w:rsidRDefault="00696709" w:rsidP="00B1018A">
      <w:pPr>
        <w:shd w:val="clear" w:color="auto" w:fill="963296"/>
        <w:spacing w:after="120" w:line="300" w:lineRule="exact"/>
        <w:jc w:val="both"/>
        <w:rPr>
          <w:b/>
          <w:color w:val="FFFFFF" w:themeColor="background1"/>
          <w:lang w:val="en-GB"/>
        </w:rPr>
      </w:pPr>
      <w:r w:rsidRPr="00C02C2C">
        <w:rPr>
          <w:b/>
          <w:color w:val="FFFFFF" w:themeColor="background1"/>
          <w:lang w:val="en-GB"/>
        </w:rPr>
        <w:t xml:space="preserve">III. </w:t>
      </w:r>
      <w:r w:rsidR="00DC2AB4" w:rsidRPr="00C02C2C">
        <w:rPr>
          <w:b/>
          <w:i/>
          <w:color w:val="FFFFFF" w:themeColor="background1"/>
          <w:lang w:val="en-GB"/>
        </w:rPr>
        <w:t>Sub-Committee</w:t>
      </w:r>
      <w:r w:rsidR="00DC2AB4" w:rsidRPr="00C02C2C">
        <w:rPr>
          <w:b/>
          <w:color w:val="FFFFFF" w:themeColor="background1"/>
          <w:lang w:val="en-GB"/>
        </w:rPr>
        <w:t xml:space="preserve"> m</w:t>
      </w:r>
      <w:r w:rsidRPr="00C02C2C">
        <w:rPr>
          <w:b/>
          <w:color w:val="FFFFFF" w:themeColor="background1"/>
          <w:lang w:val="en-GB"/>
        </w:rPr>
        <w:t>eetings</w:t>
      </w:r>
    </w:p>
    <w:p w:rsidR="00696709" w:rsidRPr="00C02C2C" w:rsidRDefault="00DC2AB4" w:rsidP="00696709">
      <w:pPr>
        <w:spacing w:after="120" w:line="300" w:lineRule="exact"/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 xml:space="preserve">The </w:t>
      </w:r>
      <w:r w:rsidRPr="00C02C2C">
        <w:rPr>
          <w:i/>
          <w:sz w:val="22"/>
          <w:lang w:val="en-GB"/>
        </w:rPr>
        <w:t>Sub-Committee</w:t>
      </w:r>
      <w:r w:rsidR="00217065" w:rsidRPr="00C02C2C">
        <w:rPr>
          <w:sz w:val="22"/>
          <w:lang w:val="en-GB"/>
        </w:rPr>
        <w:t xml:space="preserve"> meetings</w:t>
      </w:r>
      <w:r w:rsidR="007B6CD1" w:rsidRPr="00C02C2C">
        <w:rPr>
          <w:sz w:val="22"/>
          <w:lang w:val="en-GB"/>
        </w:rPr>
        <w:t xml:space="preserve"> up to date</w:t>
      </w:r>
      <w:r w:rsidR="00696709" w:rsidRPr="00C02C2C">
        <w:rPr>
          <w:sz w:val="22"/>
          <w:lang w:val="en-GB"/>
        </w:rPr>
        <w:t>:</w:t>
      </w:r>
    </w:p>
    <w:p w:rsidR="00696709" w:rsidRPr="00C02C2C" w:rsidRDefault="00696709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14</w:t>
      </w:r>
      <w:r w:rsidR="00217065" w:rsidRPr="00C02C2C">
        <w:rPr>
          <w:lang w:val="en-GB"/>
        </w:rPr>
        <w:t>.</w:t>
      </w:r>
      <w:r w:rsidRPr="00C02C2C">
        <w:rPr>
          <w:lang w:val="en-GB"/>
        </w:rPr>
        <w:t xml:space="preserve"> June 2007, Bonn, Germany</w:t>
      </w:r>
    </w:p>
    <w:p w:rsidR="00696709" w:rsidRPr="00C02C2C" w:rsidRDefault="00696709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27</w:t>
      </w:r>
      <w:r w:rsidR="00217065" w:rsidRPr="00C02C2C">
        <w:rPr>
          <w:lang w:val="en-GB"/>
        </w:rPr>
        <w:t>.</w:t>
      </w:r>
      <w:r w:rsidRPr="00C02C2C">
        <w:rPr>
          <w:lang w:val="en-GB"/>
        </w:rPr>
        <w:t xml:space="preserve"> August 2008, Bonn, Germany</w:t>
      </w:r>
    </w:p>
    <w:p w:rsidR="00696709" w:rsidRPr="00C02C2C" w:rsidRDefault="00696709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20</w:t>
      </w:r>
      <w:r w:rsidR="00217065" w:rsidRPr="00C02C2C">
        <w:rPr>
          <w:lang w:val="en-GB"/>
        </w:rPr>
        <w:t>.</w:t>
      </w:r>
      <w:r w:rsidR="006D7C20" w:rsidRPr="00C02C2C">
        <w:rPr>
          <w:lang w:val="en-GB"/>
        </w:rPr>
        <w:t xml:space="preserve"> </w:t>
      </w:r>
      <w:r w:rsidR="00217065" w:rsidRPr="00C02C2C">
        <w:rPr>
          <w:lang w:val="en-GB"/>
        </w:rPr>
        <w:t>–</w:t>
      </w:r>
      <w:r w:rsidR="006D7C20" w:rsidRPr="00C02C2C">
        <w:rPr>
          <w:lang w:val="en-GB"/>
        </w:rPr>
        <w:t xml:space="preserve"> </w:t>
      </w:r>
      <w:r w:rsidRPr="00C02C2C">
        <w:rPr>
          <w:lang w:val="en-GB"/>
        </w:rPr>
        <w:t>21</w:t>
      </w:r>
      <w:r w:rsidR="00217065" w:rsidRPr="00C02C2C">
        <w:rPr>
          <w:lang w:val="en-GB"/>
        </w:rPr>
        <w:t>.</w:t>
      </w:r>
      <w:r w:rsidRPr="00C02C2C">
        <w:rPr>
          <w:lang w:val="en-GB"/>
        </w:rPr>
        <w:t xml:space="preserve"> May 2010, Bonn, Germany</w:t>
      </w:r>
    </w:p>
    <w:p w:rsidR="00696709" w:rsidRPr="00C02C2C" w:rsidRDefault="00217065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0</w:t>
      </w:r>
      <w:r w:rsidR="00696709" w:rsidRPr="00C02C2C">
        <w:rPr>
          <w:lang w:val="en-GB"/>
        </w:rPr>
        <w:t>8</w:t>
      </w:r>
      <w:r w:rsidRPr="00C02C2C">
        <w:rPr>
          <w:lang w:val="en-GB"/>
        </w:rPr>
        <w:t>.</w:t>
      </w:r>
      <w:r w:rsidR="006D7C20" w:rsidRPr="00C02C2C">
        <w:rPr>
          <w:lang w:val="en-GB"/>
        </w:rPr>
        <w:t xml:space="preserve"> </w:t>
      </w:r>
      <w:r w:rsidRPr="00C02C2C">
        <w:rPr>
          <w:lang w:val="en-GB"/>
        </w:rPr>
        <w:t>–</w:t>
      </w:r>
      <w:r w:rsidR="006D7C20" w:rsidRPr="00C02C2C">
        <w:rPr>
          <w:lang w:val="en-GB"/>
        </w:rPr>
        <w:t xml:space="preserve"> </w:t>
      </w:r>
      <w:r w:rsidRPr="00C02C2C">
        <w:rPr>
          <w:lang w:val="en-GB"/>
        </w:rPr>
        <w:t>0</w:t>
      </w:r>
      <w:r w:rsidR="00696709" w:rsidRPr="00C02C2C">
        <w:rPr>
          <w:lang w:val="en-GB"/>
        </w:rPr>
        <w:t>9</w:t>
      </w:r>
      <w:r w:rsidRPr="00C02C2C">
        <w:rPr>
          <w:lang w:val="en-GB"/>
        </w:rPr>
        <w:t>.</w:t>
      </w:r>
      <w:r w:rsidR="00696709" w:rsidRPr="00C02C2C">
        <w:rPr>
          <w:lang w:val="en-GB"/>
        </w:rPr>
        <w:t xml:space="preserve"> September 2011, Vienna, Austria</w:t>
      </w:r>
    </w:p>
    <w:p w:rsidR="00696709" w:rsidRPr="00C02C2C" w:rsidRDefault="00696709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10</w:t>
      </w:r>
      <w:r w:rsidR="00217065" w:rsidRPr="00C02C2C">
        <w:rPr>
          <w:lang w:val="en-GB"/>
        </w:rPr>
        <w:t>.</w:t>
      </w:r>
      <w:r w:rsidR="006D7C20" w:rsidRPr="00C02C2C">
        <w:rPr>
          <w:lang w:val="en-GB"/>
        </w:rPr>
        <w:t xml:space="preserve"> </w:t>
      </w:r>
      <w:r w:rsidR="00217065" w:rsidRPr="00C02C2C">
        <w:rPr>
          <w:lang w:val="en-GB"/>
        </w:rPr>
        <w:t>–</w:t>
      </w:r>
      <w:r w:rsidR="006D7C20" w:rsidRPr="00C02C2C">
        <w:rPr>
          <w:lang w:val="en-GB"/>
        </w:rPr>
        <w:t xml:space="preserve"> </w:t>
      </w:r>
      <w:r w:rsidRPr="00C02C2C">
        <w:rPr>
          <w:lang w:val="en-GB"/>
        </w:rPr>
        <w:t>11</w:t>
      </w:r>
      <w:r w:rsidR="00217065" w:rsidRPr="00C02C2C">
        <w:rPr>
          <w:lang w:val="en-GB"/>
        </w:rPr>
        <w:t>.</w:t>
      </w:r>
      <w:r w:rsidRPr="00C02C2C">
        <w:rPr>
          <w:lang w:val="en-GB"/>
        </w:rPr>
        <w:t xml:space="preserve"> September 2012, Luxembourg, Luxembourg</w:t>
      </w:r>
    </w:p>
    <w:p w:rsidR="00696709" w:rsidRPr="00C02C2C" w:rsidRDefault="00696709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13</w:t>
      </w:r>
      <w:r w:rsidR="00217065" w:rsidRPr="00C02C2C">
        <w:rPr>
          <w:lang w:val="en-GB"/>
        </w:rPr>
        <w:t>.</w:t>
      </w:r>
      <w:r w:rsidR="006D7C20" w:rsidRPr="00C02C2C">
        <w:rPr>
          <w:lang w:val="en-GB"/>
        </w:rPr>
        <w:t xml:space="preserve"> </w:t>
      </w:r>
      <w:r w:rsidR="00217065" w:rsidRPr="00C02C2C">
        <w:rPr>
          <w:lang w:val="en-GB"/>
        </w:rPr>
        <w:t>–</w:t>
      </w:r>
      <w:r w:rsidR="006D7C20" w:rsidRPr="00C02C2C">
        <w:rPr>
          <w:lang w:val="en-GB"/>
        </w:rPr>
        <w:t xml:space="preserve"> </w:t>
      </w:r>
      <w:r w:rsidRPr="00C02C2C">
        <w:rPr>
          <w:lang w:val="en-GB"/>
        </w:rPr>
        <w:t>14</w:t>
      </w:r>
      <w:r w:rsidR="00217065" w:rsidRPr="00C02C2C">
        <w:rPr>
          <w:lang w:val="en-GB"/>
        </w:rPr>
        <w:t>.</w:t>
      </w:r>
      <w:r w:rsidRPr="00C02C2C">
        <w:rPr>
          <w:lang w:val="en-GB"/>
        </w:rPr>
        <w:t xml:space="preserve"> June 2013, Bratislava, Slovakia </w:t>
      </w:r>
    </w:p>
    <w:p w:rsidR="001401D3" w:rsidRPr="00C02C2C" w:rsidRDefault="00217065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>09. – 11. September 2014, Lima, Peru</w:t>
      </w:r>
      <w:r w:rsidR="007B6CD1" w:rsidRPr="00C02C2C">
        <w:rPr>
          <w:lang w:val="en-GB"/>
        </w:rPr>
        <w:t xml:space="preserve"> </w:t>
      </w:r>
    </w:p>
    <w:p w:rsidR="00AE4814" w:rsidRPr="00C02C2C" w:rsidRDefault="00AE4814" w:rsidP="008970E6">
      <w:pPr>
        <w:pStyle w:val="Bezriadkovania"/>
        <w:numPr>
          <w:ilvl w:val="0"/>
          <w:numId w:val="4"/>
        </w:numPr>
        <w:rPr>
          <w:lang w:val="en-GB"/>
        </w:rPr>
      </w:pPr>
      <w:r w:rsidRPr="00C02C2C">
        <w:rPr>
          <w:lang w:val="en-GB"/>
        </w:rPr>
        <w:t xml:space="preserve">08. – 09. September 2015, Stockholm, Sweden </w:t>
      </w:r>
    </w:p>
    <w:p w:rsidR="001401D3" w:rsidRPr="00C02C2C" w:rsidRDefault="001401D3" w:rsidP="001401D3">
      <w:pPr>
        <w:spacing w:after="120" w:line="300" w:lineRule="exact"/>
        <w:jc w:val="both"/>
        <w:rPr>
          <w:sz w:val="22"/>
          <w:lang w:val="en-GB"/>
        </w:rPr>
      </w:pPr>
    </w:p>
    <w:p w:rsidR="007900A5" w:rsidRPr="00C02C2C" w:rsidRDefault="007900A5" w:rsidP="001401D3">
      <w:pPr>
        <w:spacing w:after="120" w:line="300" w:lineRule="exact"/>
        <w:jc w:val="both"/>
        <w:rPr>
          <w:sz w:val="22"/>
          <w:lang w:val="en-GB"/>
        </w:rPr>
      </w:pPr>
    </w:p>
    <w:p w:rsidR="001401D3" w:rsidRPr="00C02C2C" w:rsidRDefault="001401D3" w:rsidP="00B1018A">
      <w:pPr>
        <w:shd w:val="clear" w:color="auto" w:fill="963296"/>
        <w:spacing w:after="120" w:line="300" w:lineRule="exact"/>
        <w:jc w:val="both"/>
        <w:rPr>
          <w:b/>
          <w:color w:val="FFFFFF" w:themeColor="background1"/>
          <w:szCs w:val="24"/>
          <w:lang w:val="en-GB"/>
        </w:rPr>
      </w:pPr>
      <w:r w:rsidRPr="00C02C2C">
        <w:rPr>
          <w:b/>
          <w:color w:val="FFFFFF" w:themeColor="background1"/>
          <w:szCs w:val="24"/>
          <w:lang w:val="en-GB"/>
        </w:rPr>
        <w:t>IV. Current status</w:t>
      </w:r>
    </w:p>
    <w:p w:rsidR="007B6CD1" w:rsidRPr="00C02C2C" w:rsidRDefault="00696709" w:rsidP="00F5144C">
      <w:pPr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>The Supreme Audit Office of the Slovak Republic</w:t>
      </w:r>
      <w:r w:rsidR="00806D38" w:rsidRPr="00C02C2C">
        <w:rPr>
          <w:sz w:val="22"/>
          <w:lang w:val="en-GB"/>
        </w:rPr>
        <w:t xml:space="preserve"> (SAO SR)</w:t>
      </w:r>
      <w:r w:rsidRPr="00C02C2C">
        <w:rPr>
          <w:sz w:val="22"/>
          <w:lang w:val="en-GB"/>
        </w:rPr>
        <w:t xml:space="preserve"> </w:t>
      </w:r>
      <w:r w:rsidR="00C70C4F" w:rsidRPr="00C02C2C">
        <w:rPr>
          <w:sz w:val="22"/>
          <w:lang w:val="en-GB"/>
        </w:rPr>
        <w:t xml:space="preserve">is </w:t>
      </w:r>
      <w:r w:rsidRPr="00C02C2C">
        <w:rPr>
          <w:sz w:val="22"/>
          <w:lang w:val="en-GB"/>
        </w:rPr>
        <w:t xml:space="preserve">the INTOSAI </w:t>
      </w:r>
      <w:r w:rsidR="00D91D18" w:rsidRPr="00C02C2C">
        <w:rPr>
          <w:sz w:val="22"/>
          <w:lang w:val="en-GB"/>
        </w:rPr>
        <w:t>CBC</w:t>
      </w:r>
      <w:r w:rsidRPr="00C02C2C">
        <w:rPr>
          <w:sz w:val="22"/>
          <w:lang w:val="en-GB"/>
        </w:rPr>
        <w:t xml:space="preserve">´s </w:t>
      </w:r>
      <w:r w:rsidR="006D7C20" w:rsidRPr="00C02C2C">
        <w:rPr>
          <w:i/>
          <w:sz w:val="22"/>
          <w:lang w:val="en-GB"/>
        </w:rPr>
        <w:t>Sub-Committee</w:t>
      </w:r>
      <w:r w:rsidR="007B6CD1" w:rsidRPr="00C02C2C">
        <w:rPr>
          <w:i/>
          <w:sz w:val="22"/>
          <w:lang w:val="en-GB"/>
        </w:rPr>
        <w:t xml:space="preserve"> </w:t>
      </w:r>
      <w:r w:rsidR="00C70C4F" w:rsidRPr="00C02C2C">
        <w:rPr>
          <w:i/>
          <w:sz w:val="22"/>
          <w:lang w:val="en-GB"/>
        </w:rPr>
        <w:t>on Peer R</w:t>
      </w:r>
      <w:r w:rsidRPr="00C02C2C">
        <w:rPr>
          <w:i/>
          <w:sz w:val="22"/>
          <w:lang w:val="en-GB"/>
        </w:rPr>
        <w:t xml:space="preserve">eviews </w:t>
      </w:r>
      <w:r w:rsidR="00C70C4F" w:rsidRPr="00C02C2C">
        <w:rPr>
          <w:i/>
          <w:sz w:val="22"/>
          <w:lang w:val="en-GB"/>
        </w:rPr>
        <w:t>(Sub-Committee</w:t>
      </w:r>
      <w:r w:rsidR="007B6CD1" w:rsidRPr="00C02C2C">
        <w:rPr>
          <w:i/>
          <w:sz w:val="22"/>
          <w:lang w:val="en-GB"/>
        </w:rPr>
        <w:t>)</w:t>
      </w:r>
      <w:r w:rsidR="007B6CD1" w:rsidRPr="00C02C2C">
        <w:rPr>
          <w:sz w:val="22"/>
          <w:lang w:val="en-GB"/>
        </w:rPr>
        <w:t xml:space="preserve"> </w:t>
      </w:r>
      <w:r w:rsidR="00C70C4F" w:rsidRPr="00C02C2C">
        <w:rPr>
          <w:sz w:val="22"/>
          <w:lang w:val="en-GB"/>
        </w:rPr>
        <w:t xml:space="preserve">Chair since </w:t>
      </w:r>
      <w:r w:rsidR="00147ACB" w:rsidRPr="00C02C2C">
        <w:rPr>
          <w:sz w:val="22"/>
          <w:lang w:val="en-GB"/>
        </w:rPr>
        <w:t>November</w:t>
      </w:r>
      <w:r w:rsidRPr="00C02C2C">
        <w:rPr>
          <w:sz w:val="22"/>
          <w:lang w:val="en-GB"/>
        </w:rPr>
        <w:t xml:space="preserve"> 2012</w:t>
      </w:r>
      <w:r w:rsidR="006D7C20" w:rsidRPr="00C02C2C">
        <w:rPr>
          <w:sz w:val="22"/>
          <w:lang w:val="en-GB"/>
        </w:rPr>
        <w:t>.</w:t>
      </w:r>
      <w:r w:rsidR="00C70C4F" w:rsidRPr="00C02C2C">
        <w:rPr>
          <w:sz w:val="22"/>
          <w:lang w:val="en-GB"/>
        </w:rPr>
        <w:t xml:space="preserve"> It predecessor was SAI of Germany </w:t>
      </w:r>
      <w:r w:rsidR="00686525" w:rsidRPr="00C02C2C">
        <w:rPr>
          <w:sz w:val="22"/>
          <w:lang w:val="en-GB"/>
        </w:rPr>
        <w:t>chair</w:t>
      </w:r>
      <w:r w:rsidR="00806D38" w:rsidRPr="00C02C2C">
        <w:rPr>
          <w:sz w:val="22"/>
          <w:lang w:val="en-GB"/>
        </w:rPr>
        <w:t>ing</w:t>
      </w:r>
      <w:r w:rsidR="00686525" w:rsidRPr="00C02C2C">
        <w:rPr>
          <w:sz w:val="22"/>
          <w:lang w:val="en-GB"/>
        </w:rPr>
        <w:t xml:space="preserve"> </w:t>
      </w:r>
      <w:r w:rsidR="00686525" w:rsidRPr="00C02C2C">
        <w:rPr>
          <w:i/>
          <w:sz w:val="22"/>
          <w:lang w:val="en-GB"/>
        </w:rPr>
        <w:t>Sub-Committee</w:t>
      </w:r>
      <w:r w:rsidR="00D91D18" w:rsidRPr="00C02C2C">
        <w:rPr>
          <w:sz w:val="22"/>
          <w:lang w:val="en-GB"/>
        </w:rPr>
        <w:t xml:space="preserve"> </w:t>
      </w:r>
      <w:r w:rsidR="00AE4814" w:rsidRPr="00C02C2C">
        <w:rPr>
          <w:sz w:val="22"/>
          <w:lang w:val="en-GB"/>
        </w:rPr>
        <w:t>in 2005</w:t>
      </w:r>
      <w:r w:rsidR="00686525" w:rsidRPr="00C02C2C">
        <w:rPr>
          <w:sz w:val="22"/>
          <w:lang w:val="en-GB"/>
        </w:rPr>
        <w:t xml:space="preserve"> – 2012. </w:t>
      </w:r>
    </w:p>
    <w:p w:rsidR="00CD0E04" w:rsidRPr="00C02C2C" w:rsidRDefault="00623AEE" w:rsidP="005712B1">
      <w:pPr>
        <w:jc w:val="both"/>
        <w:rPr>
          <w:sz w:val="22"/>
          <w:lang w:val="en-GB"/>
        </w:rPr>
      </w:pPr>
      <w:r w:rsidRPr="00C02C2C">
        <w:rPr>
          <w:i/>
          <w:sz w:val="22"/>
          <w:lang w:val="en-GB"/>
        </w:rPr>
        <w:t>The Sub-Committee</w:t>
      </w:r>
      <w:r w:rsidRPr="00C02C2C">
        <w:rPr>
          <w:sz w:val="22"/>
          <w:lang w:val="en-GB"/>
        </w:rPr>
        <w:t xml:space="preserve"> has established the ISSAI 5600 revisi</w:t>
      </w:r>
      <w:r w:rsidR="00686525" w:rsidRPr="00C02C2C">
        <w:rPr>
          <w:sz w:val="22"/>
          <w:lang w:val="en-GB"/>
        </w:rPr>
        <w:t>on Task Group (TG) that comprised</w:t>
      </w:r>
      <w:r w:rsidRPr="00C02C2C">
        <w:rPr>
          <w:sz w:val="22"/>
          <w:lang w:val="en-GB"/>
        </w:rPr>
        <w:t xml:space="preserve"> representatives from SAIs of Germany, Hung</w:t>
      </w:r>
      <w:r w:rsidR="00653F33" w:rsidRPr="00C02C2C">
        <w:rPr>
          <w:sz w:val="22"/>
          <w:lang w:val="en-GB"/>
        </w:rPr>
        <w:t>ary, Poland and Slovakia. The TG</w:t>
      </w:r>
      <w:r w:rsidRPr="00C02C2C">
        <w:rPr>
          <w:sz w:val="22"/>
          <w:lang w:val="en-GB"/>
        </w:rPr>
        <w:t xml:space="preserve"> </w:t>
      </w:r>
      <w:r w:rsidR="00686525" w:rsidRPr="00C02C2C">
        <w:rPr>
          <w:sz w:val="22"/>
          <w:lang w:val="en-GB"/>
        </w:rPr>
        <w:t>me</w:t>
      </w:r>
      <w:r w:rsidR="00DB36BF" w:rsidRPr="00C02C2C">
        <w:rPr>
          <w:sz w:val="22"/>
          <w:lang w:val="en-GB"/>
        </w:rPr>
        <w:t xml:space="preserve">t </w:t>
      </w:r>
      <w:r w:rsidR="00D71F69" w:rsidRPr="00C02C2C">
        <w:rPr>
          <w:sz w:val="22"/>
          <w:lang w:val="en-GB"/>
        </w:rPr>
        <w:t>several times</w:t>
      </w:r>
      <w:r w:rsidR="005712B1" w:rsidRPr="00C02C2C">
        <w:rPr>
          <w:sz w:val="22"/>
          <w:lang w:val="en-GB"/>
        </w:rPr>
        <w:t xml:space="preserve"> in 2013 and 2014. </w:t>
      </w:r>
      <w:r w:rsidR="00686525" w:rsidRPr="00C02C2C">
        <w:rPr>
          <w:sz w:val="22"/>
          <w:lang w:val="en-GB"/>
        </w:rPr>
        <w:t>Following the changes in CBC work format</w:t>
      </w:r>
      <w:r w:rsidR="00147ACB" w:rsidRPr="00C02C2C">
        <w:rPr>
          <w:sz w:val="22"/>
          <w:lang w:val="en-GB"/>
        </w:rPr>
        <w:t xml:space="preserve"> in 2014</w:t>
      </w:r>
      <w:r w:rsidR="00AE4814" w:rsidRPr="00C02C2C">
        <w:rPr>
          <w:sz w:val="22"/>
          <w:lang w:val="en-GB"/>
        </w:rPr>
        <w:t>, the TG switched</w:t>
      </w:r>
      <w:r w:rsidR="00653F33" w:rsidRPr="00C02C2C">
        <w:rPr>
          <w:sz w:val="22"/>
          <w:lang w:val="en-GB"/>
        </w:rPr>
        <w:t xml:space="preserve"> to electronic communication. </w:t>
      </w:r>
    </w:p>
    <w:p w:rsidR="0058781C" w:rsidRPr="00C02C2C" w:rsidRDefault="00686525" w:rsidP="00696709">
      <w:pPr>
        <w:tabs>
          <w:tab w:val="left" w:pos="0"/>
        </w:tabs>
        <w:spacing w:after="120" w:line="300" w:lineRule="exact"/>
        <w:jc w:val="both"/>
        <w:rPr>
          <w:b/>
          <w:lang w:val="en-GB"/>
        </w:rPr>
      </w:pPr>
      <w:r w:rsidRPr="00C02C2C">
        <w:rPr>
          <w:b/>
          <w:lang w:val="en-GB"/>
        </w:rPr>
        <w:t xml:space="preserve">  </w:t>
      </w:r>
    </w:p>
    <w:p w:rsidR="005C2CA5" w:rsidRPr="00C02C2C" w:rsidRDefault="00696709" w:rsidP="00F6022E">
      <w:pPr>
        <w:tabs>
          <w:tab w:val="left" w:pos="0"/>
          <w:tab w:val="left" w:pos="360"/>
        </w:tabs>
        <w:spacing w:after="120" w:line="300" w:lineRule="exact"/>
        <w:ind w:left="360" w:hanging="360"/>
        <w:jc w:val="both"/>
        <w:rPr>
          <w:b/>
          <w:lang w:val="en-GB"/>
        </w:rPr>
      </w:pPr>
      <w:r w:rsidRPr="00C02C2C">
        <w:rPr>
          <w:b/>
          <w:lang w:val="en-GB"/>
        </w:rPr>
        <w:lastRenderedPageBreak/>
        <w:t>1) Tasks a. and d.: Assess and document existing peer review arrangements and disseminate peer review results</w:t>
      </w:r>
    </w:p>
    <w:p w:rsidR="00F6022E" w:rsidRPr="00C02C2C" w:rsidRDefault="00F6022E" w:rsidP="00F6022E">
      <w:pPr>
        <w:tabs>
          <w:tab w:val="left" w:pos="0"/>
          <w:tab w:val="left" w:pos="360"/>
        </w:tabs>
        <w:spacing w:after="120" w:line="300" w:lineRule="exact"/>
        <w:ind w:left="360" w:hanging="360"/>
        <w:jc w:val="both"/>
        <w:rPr>
          <w:b/>
          <w:lang w:val="en-GB"/>
        </w:rPr>
      </w:pPr>
    </w:p>
    <w:p w:rsidR="00CD42E5" w:rsidRPr="00C02C2C" w:rsidRDefault="00D87EE7" w:rsidP="00EB24B3">
      <w:pPr>
        <w:jc w:val="both"/>
        <w:rPr>
          <w:sz w:val="22"/>
          <w:lang w:val="en-GB"/>
        </w:rPr>
      </w:pPr>
      <w:r w:rsidRPr="00C02C2C">
        <w:rPr>
          <w:sz w:val="22"/>
          <w:lang w:val="en-GB"/>
        </w:rPr>
        <w:t xml:space="preserve">As of </w:t>
      </w:r>
      <w:r w:rsidR="00AE4814" w:rsidRPr="00C02C2C">
        <w:rPr>
          <w:sz w:val="22"/>
          <w:lang w:val="en-GB"/>
        </w:rPr>
        <w:t>June</w:t>
      </w:r>
      <w:r w:rsidR="00806D38" w:rsidRPr="00C02C2C">
        <w:rPr>
          <w:sz w:val="22"/>
          <w:lang w:val="en-GB"/>
        </w:rPr>
        <w:t xml:space="preserve"> 201</w:t>
      </w:r>
      <w:r w:rsidR="00AE4814" w:rsidRPr="00C02C2C">
        <w:rPr>
          <w:sz w:val="22"/>
          <w:lang w:val="en-GB"/>
        </w:rPr>
        <w:t>6</w:t>
      </w:r>
      <w:r w:rsidR="00696709" w:rsidRPr="00C02C2C">
        <w:rPr>
          <w:sz w:val="22"/>
          <w:lang w:val="en-GB"/>
        </w:rPr>
        <w:t xml:space="preserve">, the </w:t>
      </w:r>
      <w:r w:rsidR="00696709" w:rsidRPr="00C02C2C">
        <w:rPr>
          <w:i/>
          <w:sz w:val="22"/>
          <w:lang w:val="en-GB"/>
        </w:rPr>
        <w:t>Sub-Committee</w:t>
      </w:r>
      <w:r w:rsidR="0058781C" w:rsidRPr="00C02C2C">
        <w:rPr>
          <w:sz w:val="22"/>
          <w:lang w:val="en-GB"/>
        </w:rPr>
        <w:t xml:space="preserve"> was</w:t>
      </w:r>
      <w:r w:rsidR="00696709" w:rsidRPr="00C02C2C">
        <w:rPr>
          <w:sz w:val="22"/>
          <w:lang w:val="en-GB"/>
        </w:rPr>
        <w:t xml:space="preserve"> informed about </w:t>
      </w:r>
      <w:r w:rsidR="00D71F69" w:rsidRPr="00C02C2C">
        <w:rPr>
          <w:sz w:val="22"/>
          <w:lang w:val="en-GB"/>
        </w:rPr>
        <w:t>91</w:t>
      </w:r>
      <w:r w:rsidR="00696709" w:rsidRPr="00C02C2C">
        <w:rPr>
          <w:bCs/>
          <w:sz w:val="22"/>
          <w:lang w:val="en-GB"/>
        </w:rPr>
        <w:t xml:space="preserve"> completed, </w:t>
      </w:r>
      <w:r w:rsidR="001047C6" w:rsidRPr="00C02C2C">
        <w:rPr>
          <w:bCs/>
          <w:sz w:val="22"/>
          <w:lang w:val="en-GB"/>
        </w:rPr>
        <w:t>on-going</w:t>
      </w:r>
      <w:r w:rsidR="00696709" w:rsidRPr="00C02C2C">
        <w:rPr>
          <w:bCs/>
          <w:sz w:val="22"/>
          <w:lang w:val="en-GB"/>
        </w:rPr>
        <w:t xml:space="preserve"> or planned peer review projects</w:t>
      </w:r>
      <w:r w:rsidR="0083127C" w:rsidRPr="00C02C2C">
        <w:rPr>
          <w:sz w:val="22"/>
          <w:lang w:val="en-GB"/>
        </w:rPr>
        <w:t xml:space="preserve">. </w:t>
      </w:r>
      <w:r w:rsidR="00D71F69" w:rsidRPr="00C02C2C">
        <w:rPr>
          <w:sz w:val="22"/>
          <w:lang w:val="en-GB"/>
        </w:rPr>
        <w:t>That represented</w:t>
      </w:r>
      <w:r w:rsidR="004C7884" w:rsidRPr="00C02C2C">
        <w:rPr>
          <w:sz w:val="22"/>
          <w:lang w:val="en-GB"/>
        </w:rPr>
        <w:t xml:space="preserve"> </w:t>
      </w:r>
      <w:r w:rsidR="00D71F69" w:rsidRPr="00C02C2C">
        <w:rPr>
          <w:sz w:val="22"/>
          <w:lang w:val="en-GB"/>
        </w:rPr>
        <w:t>increase by 6</w:t>
      </w:r>
      <w:r w:rsidR="00D55CFF" w:rsidRPr="00C02C2C">
        <w:rPr>
          <w:sz w:val="22"/>
          <w:lang w:val="en-GB"/>
        </w:rPr>
        <w:t xml:space="preserve"> projects </w:t>
      </w:r>
      <w:r w:rsidR="004C7884" w:rsidRPr="00C02C2C">
        <w:rPr>
          <w:sz w:val="22"/>
          <w:lang w:val="en-GB"/>
        </w:rPr>
        <w:t xml:space="preserve">since </w:t>
      </w:r>
      <w:r w:rsidR="00D71F69" w:rsidRPr="00C02C2C">
        <w:rPr>
          <w:sz w:val="22"/>
          <w:lang w:val="en-GB"/>
        </w:rPr>
        <w:t>survey 2015</w:t>
      </w:r>
      <w:r w:rsidR="0083127C" w:rsidRPr="00C02C2C">
        <w:rPr>
          <w:sz w:val="22"/>
          <w:lang w:val="en-GB"/>
        </w:rPr>
        <w:t>.</w:t>
      </w:r>
    </w:p>
    <w:p w:rsidR="005C2CA5" w:rsidRPr="00C02C2C" w:rsidRDefault="005C2CA5" w:rsidP="00EB24B3">
      <w:pPr>
        <w:jc w:val="both"/>
        <w:rPr>
          <w:sz w:val="22"/>
          <w:lang w:val="en-GB"/>
        </w:rPr>
      </w:pPr>
    </w:p>
    <w:p w:rsidR="0058781C" w:rsidRPr="00C02C2C" w:rsidRDefault="00184F38" w:rsidP="00EB24B3">
      <w:pPr>
        <w:jc w:val="both"/>
        <w:rPr>
          <w:rFonts w:cs="Times New Roman"/>
          <w:b/>
          <w:szCs w:val="24"/>
          <w:lang w:val="en-GB"/>
        </w:rPr>
      </w:pPr>
      <w:r w:rsidRPr="00C02C2C">
        <w:rPr>
          <w:rFonts w:cs="Times New Roman"/>
          <w:b/>
          <w:szCs w:val="24"/>
          <w:lang w:val="en-GB"/>
        </w:rPr>
        <w:t xml:space="preserve">Global </w:t>
      </w:r>
      <w:r w:rsidRPr="00C02C2C">
        <w:rPr>
          <w:rFonts w:cs="Times New Roman"/>
          <w:b/>
          <w:bCs/>
          <w:szCs w:val="24"/>
          <w:lang w:val="en-GB"/>
        </w:rPr>
        <w:t>e-mail survey</w:t>
      </w:r>
    </w:p>
    <w:p w:rsidR="00947F6D" w:rsidRPr="00C02C2C" w:rsidRDefault="00696709" w:rsidP="00EB24B3">
      <w:pPr>
        <w:jc w:val="both"/>
        <w:rPr>
          <w:rFonts w:eastAsia="Calibri" w:cs="Times New Roman"/>
          <w:bCs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 xml:space="preserve">To </w:t>
      </w:r>
      <w:r w:rsidR="00ED3E90" w:rsidRPr="00C02C2C">
        <w:rPr>
          <w:rFonts w:cs="Times New Roman"/>
          <w:sz w:val="22"/>
          <w:lang w:val="en-GB"/>
        </w:rPr>
        <w:t xml:space="preserve">continuously </w:t>
      </w:r>
      <w:r w:rsidRPr="00C02C2C">
        <w:rPr>
          <w:rFonts w:cs="Times New Roman"/>
          <w:sz w:val="22"/>
          <w:lang w:val="en-GB"/>
        </w:rPr>
        <w:t xml:space="preserve">manage and develop </w:t>
      </w:r>
      <w:r w:rsidR="00ED3E90" w:rsidRPr="00C02C2C">
        <w:rPr>
          <w:rFonts w:cs="Times New Roman"/>
          <w:sz w:val="22"/>
          <w:lang w:val="en-GB"/>
        </w:rPr>
        <w:t xml:space="preserve">peer review </w:t>
      </w:r>
      <w:r w:rsidRPr="00C02C2C">
        <w:rPr>
          <w:rFonts w:cs="Times New Roman"/>
          <w:sz w:val="22"/>
          <w:lang w:val="en-GB"/>
        </w:rPr>
        <w:t xml:space="preserve">documentation, the </w:t>
      </w:r>
      <w:r w:rsidRPr="00C02C2C">
        <w:rPr>
          <w:rFonts w:cs="Times New Roman"/>
          <w:i/>
          <w:sz w:val="22"/>
          <w:lang w:val="en-GB"/>
        </w:rPr>
        <w:t>Sub-Committee</w:t>
      </w:r>
      <w:r w:rsidRPr="00C02C2C">
        <w:rPr>
          <w:rFonts w:cs="Times New Roman"/>
          <w:sz w:val="22"/>
          <w:lang w:val="en-GB"/>
        </w:rPr>
        <w:t xml:space="preserve"> carries out </w:t>
      </w:r>
      <w:r w:rsidR="00873481" w:rsidRPr="00C02C2C">
        <w:rPr>
          <w:rFonts w:cs="Times New Roman"/>
          <w:sz w:val="22"/>
          <w:lang w:val="en-GB"/>
        </w:rPr>
        <w:t>a global</w:t>
      </w:r>
      <w:r w:rsidRPr="00C02C2C">
        <w:rPr>
          <w:rFonts w:cs="Times New Roman"/>
          <w:sz w:val="22"/>
          <w:lang w:val="en-GB"/>
        </w:rPr>
        <w:t xml:space="preserve"> </w:t>
      </w:r>
      <w:r w:rsidRPr="00C02C2C">
        <w:rPr>
          <w:rFonts w:cs="Times New Roman"/>
          <w:bCs/>
          <w:sz w:val="22"/>
          <w:lang w:val="en-GB"/>
        </w:rPr>
        <w:t>e</w:t>
      </w:r>
      <w:r w:rsidR="00147ACB" w:rsidRPr="00C02C2C">
        <w:rPr>
          <w:rFonts w:cs="Times New Roman"/>
          <w:bCs/>
          <w:sz w:val="22"/>
          <w:lang w:val="en-GB"/>
        </w:rPr>
        <w:t>-</w:t>
      </w:r>
      <w:r w:rsidR="00873481" w:rsidRPr="00C02C2C">
        <w:rPr>
          <w:rFonts w:cs="Times New Roman"/>
          <w:bCs/>
          <w:sz w:val="22"/>
          <w:lang w:val="en-GB"/>
        </w:rPr>
        <w:t>mail</w:t>
      </w:r>
      <w:r w:rsidR="0083127C" w:rsidRPr="00C02C2C">
        <w:rPr>
          <w:rFonts w:cs="Times New Roman"/>
          <w:bCs/>
          <w:sz w:val="22"/>
          <w:lang w:val="en-GB"/>
        </w:rPr>
        <w:t xml:space="preserve"> </w:t>
      </w:r>
      <w:r w:rsidRPr="00C02C2C">
        <w:rPr>
          <w:rFonts w:cs="Times New Roman"/>
          <w:bCs/>
          <w:sz w:val="22"/>
          <w:lang w:val="en-GB"/>
        </w:rPr>
        <w:t>survey</w:t>
      </w:r>
      <w:r w:rsidRPr="00C02C2C">
        <w:rPr>
          <w:rFonts w:cs="Times New Roman"/>
          <w:sz w:val="22"/>
          <w:lang w:val="en-GB"/>
        </w:rPr>
        <w:t xml:space="preserve">. </w:t>
      </w:r>
      <w:r w:rsidR="00F76B87" w:rsidRPr="00C02C2C">
        <w:rPr>
          <w:rFonts w:cs="Times New Roman"/>
          <w:sz w:val="22"/>
          <w:lang w:val="en-GB"/>
        </w:rPr>
        <w:t xml:space="preserve">The </w:t>
      </w:r>
      <w:r w:rsidR="001047C6" w:rsidRPr="00C02C2C">
        <w:rPr>
          <w:rFonts w:cs="Times New Roman"/>
          <w:sz w:val="22"/>
          <w:lang w:val="en-GB"/>
        </w:rPr>
        <w:t xml:space="preserve">global </w:t>
      </w:r>
      <w:r w:rsidRPr="00C02C2C">
        <w:rPr>
          <w:rFonts w:cs="Times New Roman"/>
          <w:sz w:val="22"/>
          <w:lang w:val="en-GB"/>
        </w:rPr>
        <w:t>e</w:t>
      </w:r>
      <w:r w:rsidR="00E42F02" w:rsidRPr="00C02C2C">
        <w:rPr>
          <w:rFonts w:cs="Times New Roman"/>
          <w:sz w:val="22"/>
          <w:lang w:val="en-GB"/>
        </w:rPr>
        <w:t>-</w:t>
      </w:r>
      <w:r w:rsidRPr="00C02C2C">
        <w:rPr>
          <w:rFonts w:cs="Times New Roman"/>
          <w:sz w:val="22"/>
          <w:lang w:val="en-GB"/>
        </w:rPr>
        <w:t>mail survey</w:t>
      </w:r>
      <w:r w:rsidR="00873481" w:rsidRPr="00C02C2C">
        <w:rPr>
          <w:rFonts w:cs="Times New Roman"/>
          <w:sz w:val="22"/>
          <w:lang w:val="en-GB"/>
        </w:rPr>
        <w:t xml:space="preserve"> 2016</w:t>
      </w:r>
      <w:r w:rsidR="006D4D6A" w:rsidRPr="00C02C2C">
        <w:rPr>
          <w:rFonts w:cs="Times New Roman"/>
          <w:sz w:val="22"/>
          <w:lang w:val="en-GB"/>
        </w:rPr>
        <w:t xml:space="preserve"> was </w:t>
      </w:r>
      <w:r w:rsidR="00873481" w:rsidRPr="00C02C2C">
        <w:rPr>
          <w:rFonts w:cs="Times New Roman"/>
          <w:sz w:val="22"/>
          <w:lang w:val="en-GB"/>
        </w:rPr>
        <w:t>4</w:t>
      </w:r>
      <w:r w:rsidR="00873481" w:rsidRPr="00C02C2C">
        <w:rPr>
          <w:rFonts w:cs="Times New Roman"/>
          <w:sz w:val="22"/>
          <w:vertAlign w:val="superscript"/>
          <w:lang w:val="en-GB"/>
        </w:rPr>
        <w:t>th</w:t>
      </w:r>
      <w:r w:rsidR="001047C6" w:rsidRPr="00C02C2C">
        <w:rPr>
          <w:rFonts w:cs="Times New Roman"/>
          <w:sz w:val="22"/>
          <w:lang w:val="en-GB"/>
        </w:rPr>
        <w:t xml:space="preserve"> since 2012.</w:t>
      </w:r>
      <w:r w:rsidR="006D4D6A" w:rsidRPr="00C02C2C">
        <w:rPr>
          <w:rFonts w:cs="Times New Roman"/>
          <w:sz w:val="22"/>
          <w:lang w:val="en-GB"/>
        </w:rPr>
        <w:t xml:space="preserve"> </w:t>
      </w:r>
    </w:p>
    <w:p w:rsidR="00D55CFF" w:rsidRPr="00C02C2C" w:rsidRDefault="0057058C" w:rsidP="00D55CFF">
      <w:pPr>
        <w:ind w:right="-1"/>
        <w:jc w:val="both"/>
        <w:rPr>
          <w:rFonts w:eastAsia="Calibri" w:cs="Times New Roman"/>
          <w:b/>
          <w:bCs/>
          <w:sz w:val="22"/>
          <w:lang w:val="en-GB"/>
        </w:rPr>
      </w:pPr>
      <w:r w:rsidRPr="00C02C2C">
        <w:rPr>
          <w:rFonts w:eastAsia="Calibri" w:cs="Times New Roman"/>
          <w:b/>
          <w:bCs/>
          <w:sz w:val="22"/>
          <w:lang w:val="en-GB"/>
        </w:rPr>
        <w:t xml:space="preserve">A. Peer review survey </w:t>
      </w:r>
      <w:r w:rsidR="0058781C" w:rsidRPr="00C02C2C">
        <w:rPr>
          <w:rFonts w:eastAsia="Calibri" w:cs="Times New Roman"/>
          <w:b/>
          <w:bCs/>
          <w:sz w:val="22"/>
          <w:lang w:val="en-GB"/>
        </w:rPr>
        <w:t xml:space="preserve">2016 </w:t>
      </w:r>
      <w:r w:rsidRPr="00C02C2C">
        <w:rPr>
          <w:rFonts w:eastAsia="Calibri" w:cs="Times New Roman"/>
          <w:b/>
          <w:bCs/>
          <w:sz w:val="22"/>
          <w:lang w:val="en-GB"/>
        </w:rPr>
        <w:t>process and facts</w:t>
      </w:r>
    </w:p>
    <w:p w:rsidR="0058781C" w:rsidRPr="00C02C2C" w:rsidRDefault="0058781C" w:rsidP="008970E6">
      <w:pPr>
        <w:pStyle w:val="Bezriadkovania"/>
        <w:numPr>
          <w:ilvl w:val="0"/>
          <w:numId w:val="2"/>
        </w:numPr>
        <w:rPr>
          <w:rFonts w:cs="Times New Roman"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>The survey was undertaken in May and June 2016;</w:t>
      </w:r>
    </w:p>
    <w:p w:rsidR="0058781C" w:rsidRPr="00C02C2C" w:rsidRDefault="0058781C" w:rsidP="008970E6">
      <w:pPr>
        <w:pStyle w:val="Bezriadkovania"/>
        <w:numPr>
          <w:ilvl w:val="0"/>
          <w:numId w:val="2"/>
        </w:numPr>
        <w:rPr>
          <w:rFonts w:cs="Times New Roman"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 xml:space="preserve">The INTOSAI members were delivered a questionnaire via e-mail. </w:t>
      </w:r>
    </w:p>
    <w:p w:rsidR="0058781C" w:rsidRPr="00C02C2C" w:rsidRDefault="0058781C" w:rsidP="008970E6">
      <w:pPr>
        <w:pStyle w:val="Bezriadkovania"/>
        <w:numPr>
          <w:ilvl w:val="0"/>
          <w:numId w:val="2"/>
        </w:numPr>
        <w:rPr>
          <w:rFonts w:cs="Times New Roman"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>In comparison to the 2015 questionnaire, there were two more questions to express preliminary interest participation at a seminar/conference to be devoted to the issues of peer review, SAI PMF and their mutual relationship.</w:t>
      </w:r>
    </w:p>
    <w:p w:rsidR="0058781C" w:rsidRPr="00C02C2C" w:rsidRDefault="0058781C" w:rsidP="008970E6">
      <w:pPr>
        <w:pStyle w:val="Bezriadkovania"/>
        <w:numPr>
          <w:ilvl w:val="0"/>
          <w:numId w:val="2"/>
        </w:numPr>
        <w:rPr>
          <w:rFonts w:cs="Times New Roman"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>The survey questionnaire registered 41 replies.</w:t>
      </w:r>
    </w:p>
    <w:p w:rsidR="001401D3" w:rsidRPr="00C02C2C" w:rsidRDefault="001401D3" w:rsidP="00DB36BF">
      <w:pPr>
        <w:ind w:right="-1"/>
        <w:jc w:val="both"/>
        <w:rPr>
          <w:rFonts w:cs="Times New Roman"/>
          <w:sz w:val="22"/>
          <w:lang w:val="en-GB"/>
        </w:rPr>
      </w:pPr>
    </w:p>
    <w:p w:rsidR="0058781C" w:rsidRPr="00C02C2C" w:rsidRDefault="00E04A8D" w:rsidP="00E04A8D">
      <w:pPr>
        <w:ind w:right="-3"/>
        <w:jc w:val="both"/>
        <w:rPr>
          <w:rFonts w:cs="Times New Roman"/>
          <w:b/>
          <w:sz w:val="22"/>
          <w:lang w:val="en-GB"/>
        </w:rPr>
      </w:pPr>
      <w:r w:rsidRPr="00C02C2C">
        <w:rPr>
          <w:rFonts w:cs="Times New Roman"/>
          <w:b/>
          <w:sz w:val="22"/>
          <w:lang w:val="en-GB"/>
        </w:rPr>
        <w:t xml:space="preserve">B. Peer review survey </w:t>
      </w:r>
      <w:r w:rsidR="0058781C" w:rsidRPr="00C02C2C">
        <w:rPr>
          <w:rFonts w:cs="Times New Roman"/>
          <w:b/>
          <w:sz w:val="22"/>
          <w:lang w:val="en-GB"/>
        </w:rPr>
        <w:t xml:space="preserve">2016 </w:t>
      </w:r>
      <w:r w:rsidRPr="00C02C2C">
        <w:rPr>
          <w:rFonts w:cs="Times New Roman"/>
          <w:b/>
          <w:sz w:val="22"/>
          <w:lang w:val="en-GB"/>
        </w:rPr>
        <w:t xml:space="preserve">findings     </w:t>
      </w:r>
    </w:p>
    <w:p w:rsidR="0058781C" w:rsidRPr="00C02C2C" w:rsidRDefault="0058781C" w:rsidP="008970E6">
      <w:pPr>
        <w:pStyle w:val="Bezriadkovania"/>
        <w:numPr>
          <w:ilvl w:val="0"/>
          <w:numId w:val="3"/>
        </w:numPr>
        <w:rPr>
          <w:rFonts w:cs="Times New Roman"/>
          <w:sz w:val="22"/>
          <w:lang w:val="en-GB"/>
        </w:rPr>
      </w:pPr>
      <w:r w:rsidRPr="00C02C2C">
        <w:rPr>
          <w:rFonts w:cs="Times New Roman"/>
          <w:sz w:val="22"/>
          <w:lang w:val="en-GB"/>
        </w:rPr>
        <w:t>As of July 1</w:t>
      </w:r>
      <w:r w:rsidRPr="00C02C2C">
        <w:rPr>
          <w:rFonts w:cs="Times New Roman"/>
          <w:sz w:val="22"/>
          <w:vertAlign w:val="superscript"/>
          <w:lang w:val="en-GB"/>
        </w:rPr>
        <w:t>st</w:t>
      </w:r>
      <w:r w:rsidRPr="00C02C2C">
        <w:rPr>
          <w:rFonts w:cs="Times New Roman"/>
          <w:sz w:val="22"/>
          <w:lang w:val="en-GB"/>
        </w:rPr>
        <w:t>, 2016, since 1999, 91 peer reviews were known to Subcommittee.</w:t>
      </w:r>
    </w:p>
    <w:p w:rsidR="0058781C" w:rsidRPr="00C02C2C" w:rsidRDefault="0058781C" w:rsidP="008970E6">
      <w:pPr>
        <w:pStyle w:val="Odsekzoznamu"/>
        <w:numPr>
          <w:ilvl w:val="0"/>
          <w:numId w:val="3"/>
        </w:numPr>
        <w:rPr>
          <w:rFonts w:ascii="Times New Roman" w:hAnsi="Times New Roman"/>
          <w:sz w:val="22"/>
          <w:lang w:val="en-GB"/>
        </w:rPr>
      </w:pPr>
      <w:r w:rsidRPr="00C02C2C">
        <w:rPr>
          <w:rFonts w:ascii="Times New Roman" w:hAnsi="Times New Roman"/>
          <w:sz w:val="22"/>
          <w:lang w:val="en-GB"/>
        </w:rPr>
        <w:t xml:space="preserve">There are 56 peer review reports and 8 memoranda at the CBC library on </w:t>
      </w:r>
      <w:hyperlink r:id="rId13" w:history="1">
        <w:r w:rsidRPr="00C02C2C">
          <w:rPr>
            <w:rFonts w:ascii="Times New Roman" w:hAnsi="Times New Roman"/>
            <w:color w:val="0000FF" w:themeColor="hyperlink"/>
            <w:sz w:val="22"/>
            <w:u w:val="single"/>
            <w:lang w:val="en-GB"/>
          </w:rPr>
          <w:t>http://www.intosaicbc.org/</w:t>
        </w:r>
      </w:hyperlink>
      <w:r w:rsidRPr="00C02C2C">
        <w:rPr>
          <w:rFonts w:ascii="Times New Roman" w:hAnsi="Times New Roman"/>
          <w:sz w:val="22"/>
          <w:lang w:val="en-GB"/>
        </w:rPr>
        <w:t xml:space="preserve">. </w:t>
      </w:r>
    </w:p>
    <w:p w:rsidR="0058781C" w:rsidRPr="00C02C2C" w:rsidRDefault="0058781C" w:rsidP="0058781C">
      <w:pPr>
        <w:spacing w:after="0" w:line="240" w:lineRule="auto"/>
        <w:ind w:left="142"/>
        <w:jc w:val="center"/>
        <w:rPr>
          <w:rFonts w:ascii="Arial Narrow" w:hAnsi="Arial Narrow"/>
          <w:sz w:val="16"/>
          <w:szCs w:val="16"/>
          <w:lang w:val="en-GB"/>
        </w:rPr>
      </w:pPr>
    </w:p>
    <w:p w:rsidR="0058781C" w:rsidRPr="00C02C2C" w:rsidRDefault="0058781C" w:rsidP="0058781C">
      <w:pPr>
        <w:spacing w:after="0" w:line="240" w:lineRule="auto"/>
        <w:ind w:left="142"/>
        <w:jc w:val="center"/>
        <w:rPr>
          <w:rFonts w:ascii="Arial Narrow" w:hAnsi="Arial Narrow"/>
          <w:sz w:val="16"/>
          <w:szCs w:val="16"/>
          <w:lang w:val="en-GB"/>
        </w:rPr>
      </w:pPr>
    </w:p>
    <w:tbl>
      <w:tblPr>
        <w:tblStyle w:val="Mriekatabuky1"/>
        <w:tblpPr w:leftFromText="141" w:rightFromText="141" w:vertAnchor="text" w:horzAnchor="page" w:tblpXSpec="center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7"/>
        <w:gridCol w:w="1417"/>
      </w:tblGrid>
      <w:tr w:rsidR="0058781C" w:rsidRPr="00C02C2C" w:rsidTr="00CE06F0">
        <w:trPr>
          <w:trHeight w:val="21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17" w:right="-145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reports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10773"/>
                <w:tab w:val="left" w:pos="10915"/>
              </w:tabs>
              <w:ind w:left="-108"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MoUs</w:t>
            </w:r>
            <w:proofErr w:type="spellEnd"/>
          </w:p>
        </w:tc>
      </w:tr>
      <w:tr w:rsidR="0058781C" w:rsidRPr="00C02C2C" w:rsidTr="00B91FC6">
        <w:trPr>
          <w:trHeight w:val="26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noProof/>
                <w:color w:val="FFFFFF" w:themeColor="background1"/>
                <w:sz w:val="20"/>
                <w:szCs w:val="20"/>
                <w:lang w:eastAsia="sk-SK"/>
              </w:rPr>
              <w:drawing>
                <wp:inline distT="0" distB="0" distL="0" distR="0" wp14:anchorId="6506D31D" wp14:editId="51DDED3B">
                  <wp:extent cx="343260" cy="198408"/>
                  <wp:effectExtent l="19050" t="0" r="0" b="0"/>
                  <wp:docPr id="3" name="Obrázok 1" descr="C:\Users\GAL\Pictures\flags individual countries\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\Pictures\flags individual countries\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46" cy="20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</w:tcBorders>
            <w:shd w:val="clear" w:color="auto" w:fill="00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45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58781C" w:rsidRPr="00C02C2C" w:rsidTr="00B91FC6">
        <w:trPr>
          <w:trHeight w:val="279"/>
        </w:trPr>
        <w:tc>
          <w:tcPr>
            <w:tcW w:w="534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noProof/>
                <w:color w:val="FFFFFF" w:themeColor="background1"/>
                <w:sz w:val="20"/>
                <w:szCs w:val="20"/>
                <w:lang w:eastAsia="sk-SK"/>
              </w:rPr>
              <w:drawing>
                <wp:inline distT="0" distB="0" distL="0" distR="0" wp14:anchorId="49E2C746" wp14:editId="1C03B647">
                  <wp:extent cx="339189" cy="207034"/>
                  <wp:effectExtent l="19050" t="0" r="3711" b="0"/>
                  <wp:docPr id="4" name="Obrázok 4" descr="C:\Users\GAL\Pictures\flags individual countries\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\Pictures\flags individual countries\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91" cy="20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x</w:t>
            </w:r>
          </w:p>
        </w:tc>
      </w:tr>
      <w:tr w:rsidR="0058781C" w:rsidRPr="00C02C2C" w:rsidTr="00B91FC6">
        <w:trPr>
          <w:trHeight w:val="298"/>
        </w:trPr>
        <w:tc>
          <w:tcPr>
            <w:tcW w:w="534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55748035" wp14:editId="716756DB">
                  <wp:extent cx="343260" cy="224287"/>
                  <wp:effectExtent l="19050" t="0" r="0" b="0"/>
                  <wp:docPr id="5" name="Obrázok 7" descr="C:\Users\GAL\Pictures\flags individual countries\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L\Pictures\flags individual countries\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35" cy="2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x</w:t>
            </w:r>
          </w:p>
        </w:tc>
      </w:tr>
      <w:tr w:rsidR="0058781C" w:rsidRPr="00C02C2C" w:rsidTr="00B91FC6">
        <w:trPr>
          <w:trHeight w:val="288"/>
        </w:trPr>
        <w:tc>
          <w:tcPr>
            <w:tcW w:w="534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47BF517" wp14:editId="42762BA0">
                  <wp:extent cx="340085" cy="215660"/>
                  <wp:effectExtent l="19050" t="0" r="2815" b="0"/>
                  <wp:docPr id="6" name="Obrázok 13" descr="C:\Users\GAL\Pictures\flags individual countries\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L\Pictures\flags individual countries\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3" cy="21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2</w:t>
            </w:r>
          </w:p>
        </w:tc>
      </w:tr>
      <w:tr w:rsidR="0058781C" w:rsidRPr="00C02C2C" w:rsidTr="00B91FC6">
        <w:trPr>
          <w:trHeight w:val="307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noProof/>
                <w:color w:val="FFFFFF" w:themeColor="background1"/>
                <w:sz w:val="20"/>
                <w:szCs w:val="20"/>
                <w:lang w:eastAsia="sk-SK"/>
              </w:rPr>
              <w:drawing>
                <wp:inline distT="0" distB="0" distL="0" distR="0" wp14:anchorId="4A7482C6" wp14:editId="72C9C41D">
                  <wp:extent cx="344682" cy="230007"/>
                  <wp:effectExtent l="19050" t="0" r="0" b="0"/>
                  <wp:docPr id="7" name="Obrázok 10" descr="C:\Users\GAL\Pictures\flags individual countries\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L\Pictures\flags individual countries\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53" cy="23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C02C2C">
              <w:rPr>
                <w:b/>
                <w:sz w:val="20"/>
                <w:szCs w:val="20"/>
                <w:lang w:val="en-GB"/>
              </w:rPr>
              <w:t>1</w:t>
            </w:r>
          </w:p>
        </w:tc>
      </w:tr>
      <w:tr w:rsidR="0058781C" w:rsidRPr="00C02C2C" w:rsidTr="00B91FC6">
        <w:trPr>
          <w:trHeight w:val="260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FF99"/>
          </w:tcPr>
          <w:p w:rsidR="0058781C" w:rsidRPr="00C02C2C" w:rsidRDefault="00FA387E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val="en-GB" w:eastAsia="sk-SK"/>
              </w:rPr>
            </w:pPr>
            <w:r w:rsidRPr="00C02C2C">
              <w:rPr>
                <w:b/>
                <w:noProof/>
                <w:color w:val="FFFFFF" w:themeColor="background1"/>
                <w:sz w:val="20"/>
                <w:szCs w:val="20"/>
                <w:lang w:eastAsia="sk-SK"/>
              </w:rPr>
              <w:drawing>
                <wp:inline distT="0" distB="0" distL="0" distR="0" wp14:anchorId="417572BD" wp14:editId="51BF8D35">
                  <wp:extent cx="357554" cy="216877"/>
                  <wp:effectExtent l="0" t="0" r="4445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21" cy="21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  <w:shd w:val="clear" w:color="auto" w:fill="5F497A" w:themeFill="accent4" w:themeFillShade="B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5F497A" w:themeFill="accent4" w:themeFillShade="B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F497A" w:themeFill="accent4" w:themeFillShade="BF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x</w:t>
            </w:r>
          </w:p>
        </w:tc>
      </w:tr>
      <w:tr w:rsidR="0058781C" w:rsidRPr="00C02C2C" w:rsidTr="00CE06F0">
        <w:trPr>
          <w:trHeight w:val="24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63296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42" w:right="423"/>
              <w:jc w:val="both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-113"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56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63296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b/>
                <w:color w:val="FFFFFF" w:themeColor="background1"/>
                <w:sz w:val="20"/>
                <w:szCs w:val="20"/>
                <w:lang w:val="en-GB"/>
              </w:rPr>
              <w:t>8</w:t>
            </w:r>
          </w:p>
        </w:tc>
      </w:tr>
    </w:tbl>
    <w:p w:rsidR="0058781C" w:rsidRPr="00C02C2C" w:rsidRDefault="0058781C" w:rsidP="0058781C">
      <w:pPr>
        <w:spacing w:after="0" w:line="240" w:lineRule="auto"/>
        <w:ind w:left="142"/>
        <w:jc w:val="center"/>
        <w:rPr>
          <w:rFonts w:ascii="Arial Narrow" w:hAnsi="Arial Narrow"/>
          <w:b/>
          <w:sz w:val="22"/>
          <w:lang w:val="en-GB"/>
        </w:rPr>
      </w:pPr>
      <w:r w:rsidRPr="00C02C2C">
        <w:rPr>
          <w:rFonts w:ascii="Lucida Sans Unicode" w:hAnsi="Lucida Sans Unicode" w:cs="Lucida Sans Unicode"/>
          <w:b/>
          <w:color w:val="4F81BD" w:themeColor="accent1"/>
          <w:lang w:val="en-GB"/>
        </w:rPr>
        <w:t xml:space="preserve">     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jc w:val="center"/>
        <w:rPr>
          <w:rFonts w:ascii="Lucida Sans Unicode" w:hAnsi="Lucida Sans Unicode" w:cs="Lucida Sans Unicode"/>
          <w:b/>
          <w:noProof/>
          <w:color w:val="4F81BD" w:themeColor="accent1"/>
          <w:sz w:val="16"/>
          <w:szCs w:val="16"/>
          <w:lang w:val="en-GB" w:eastAsia="sk-SK"/>
        </w:rPr>
      </w:pPr>
      <w:r w:rsidRPr="00C02C2C">
        <w:rPr>
          <w:rFonts w:ascii="Lucida Sans Unicode" w:hAnsi="Lucida Sans Unicode" w:cs="Lucida Sans Unicode"/>
          <w:b/>
          <w:noProof/>
          <w:color w:val="4F81BD" w:themeColor="accent1"/>
          <w:sz w:val="16"/>
          <w:szCs w:val="16"/>
          <w:lang w:val="en-GB" w:eastAsia="sk-SK"/>
        </w:rPr>
        <w:t xml:space="preserve">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jc w:val="center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  <w:r w:rsidRPr="00C02C2C"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  <w:t xml:space="preserve">                      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jc w:val="center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jc w:val="center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  <w:r w:rsidRPr="00C02C2C"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  <w:t xml:space="preserve">                   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jc w:val="center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426" w:right="-882" w:firstLine="284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  <w:r w:rsidRPr="00C02C2C"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  <w:t xml:space="preserve">   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right="-882"/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right="-882"/>
        <w:rPr>
          <w:rFonts w:cs="Times New Roman"/>
          <w:b/>
          <w:color w:val="000000"/>
          <w:sz w:val="16"/>
          <w:szCs w:val="16"/>
          <w:lang w:val="en-GB"/>
        </w:rPr>
      </w:pPr>
      <w:r w:rsidRPr="00C02C2C">
        <w:rPr>
          <w:rFonts w:ascii="Lucida Sans Unicode" w:hAnsi="Lucida Sans Unicode" w:cs="Lucida Sans Unicode"/>
          <w:b/>
          <w:color w:val="4F81BD" w:themeColor="accent1"/>
          <w:sz w:val="16"/>
          <w:szCs w:val="16"/>
          <w:lang w:val="en-GB"/>
        </w:rPr>
        <w:t xml:space="preserve">                         </w:t>
      </w: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Monotype Corsiva" w:hAnsi="Monotype Corsiva" w:cs="Verdana"/>
          <w:b/>
          <w:color w:val="009900"/>
          <w:sz w:val="22"/>
          <w:szCs w:val="24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Monotype Corsiva" w:hAnsi="Monotype Corsiva" w:cs="Verdana"/>
          <w:b/>
          <w:color w:val="009900"/>
          <w:sz w:val="22"/>
          <w:szCs w:val="24"/>
          <w:lang w:val="en-GB"/>
        </w:rPr>
      </w:pPr>
    </w:p>
    <w:p w:rsidR="0058781C" w:rsidRPr="00C02C2C" w:rsidRDefault="0058781C" w:rsidP="0058781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Monotype Corsiva" w:hAnsi="Monotype Corsiva" w:cs="Verdana"/>
          <w:b/>
          <w:color w:val="009900"/>
          <w:szCs w:val="24"/>
          <w:lang w:val="en-GB"/>
        </w:rPr>
      </w:pPr>
    </w:p>
    <w:p w:rsidR="0058781C" w:rsidRPr="00C02C2C" w:rsidRDefault="0058781C" w:rsidP="00490434">
      <w:pPr>
        <w:autoSpaceDE w:val="0"/>
        <w:autoSpaceDN w:val="0"/>
        <w:adjustRightInd w:val="0"/>
        <w:spacing w:after="0" w:line="240" w:lineRule="auto"/>
        <w:ind w:right="-426"/>
        <w:rPr>
          <w:rFonts w:cs="Times New Roman"/>
          <w:color w:val="C00000"/>
          <w:sz w:val="22"/>
          <w:lang w:val="en-GB"/>
        </w:rPr>
      </w:pPr>
    </w:p>
    <w:p w:rsidR="0058781C" w:rsidRPr="00C02C2C" w:rsidRDefault="0058781C" w:rsidP="008970E6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709" w:right="-426" w:hanging="283"/>
        <w:jc w:val="both"/>
        <w:rPr>
          <w:rFonts w:ascii="Times New Roman" w:hAnsi="Times New Roman"/>
          <w:sz w:val="22"/>
          <w:lang w:val="en-GB"/>
        </w:rPr>
      </w:pPr>
      <w:r w:rsidRPr="00C02C2C">
        <w:rPr>
          <w:rFonts w:ascii="Times New Roman" w:hAnsi="Times New Roman"/>
          <w:sz w:val="22"/>
          <w:lang w:val="en-GB"/>
        </w:rPr>
        <w:t xml:space="preserve">The largest number of peer reviews was conducted in 2014 – seventeen. </w:t>
      </w:r>
    </w:p>
    <w:p w:rsidR="0058781C" w:rsidRPr="00C02C2C" w:rsidRDefault="0058781C" w:rsidP="008970E6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709" w:right="-426" w:hanging="283"/>
        <w:jc w:val="both"/>
        <w:rPr>
          <w:rFonts w:ascii="Times New Roman" w:hAnsi="Times New Roman"/>
          <w:sz w:val="22"/>
          <w:lang w:val="en-GB"/>
        </w:rPr>
      </w:pPr>
      <w:r w:rsidRPr="00C02C2C">
        <w:rPr>
          <w:rFonts w:ascii="Times New Roman" w:hAnsi="Times New Roman"/>
          <w:sz w:val="22"/>
          <w:lang w:val="en-GB"/>
        </w:rPr>
        <w:t xml:space="preserve">The second year in numbers was 2012 when sixteen peer reviews were recorded.  </w:t>
      </w:r>
    </w:p>
    <w:p w:rsidR="00184F38" w:rsidRPr="00C02C2C" w:rsidRDefault="0058781C" w:rsidP="008970E6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709" w:right="-426" w:hanging="283"/>
        <w:jc w:val="both"/>
        <w:rPr>
          <w:rFonts w:ascii="Times New Roman" w:hAnsi="Times New Roman"/>
          <w:sz w:val="22"/>
          <w:lang w:val="en-GB"/>
        </w:rPr>
      </w:pPr>
      <w:r w:rsidRPr="00C02C2C">
        <w:rPr>
          <w:rFonts w:ascii="Times New Roman" w:hAnsi="Times New Roman"/>
          <w:sz w:val="22"/>
          <w:lang w:val="en-GB"/>
        </w:rPr>
        <w:t>No peer reviews were registered in the year 2002 and 2003.</w:t>
      </w:r>
    </w:p>
    <w:p w:rsidR="00EC3558" w:rsidRPr="00C02C2C" w:rsidRDefault="00EC3558" w:rsidP="00EC3558">
      <w:pPr>
        <w:pStyle w:val="Odsekzoznamu"/>
        <w:autoSpaceDE w:val="0"/>
        <w:autoSpaceDN w:val="0"/>
        <w:adjustRightInd w:val="0"/>
        <w:ind w:left="709" w:right="-426"/>
        <w:jc w:val="both"/>
        <w:rPr>
          <w:rFonts w:ascii="Times New Roman" w:hAnsi="Times New Roman"/>
          <w:sz w:val="22"/>
          <w:lang w:val="en-GB"/>
        </w:rPr>
      </w:pPr>
    </w:p>
    <w:p w:rsidR="00B91FC6" w:rsidRPr="00C02C2C" w:rsidRDefault="00B91FC6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C2CA5" w:rsidRPr="00C02C2C" w:rsidRDefault="005C2CA5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58781C" w:rsidRPr="00C02C2C" w:rsidRDefault="0058781C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C02C2C">
        <w:rPr>
          <w:rFonts w:ascii="Times New Roman" w:hAnsi="Times New Roman"/>
          <w:b/>
          <w:sz w:val="22"/>
          <w:szCs w:val="22"/>
          <w:lang w:val="en-GB"/>
        </w:rPr>
        <w:t xml:space="preserve">54 SAIs </w:t>
      </w:r>
      <w:r w:rsidR="00490434" w:rsidRPr="00C02C2C">
        <w:rPr>
          <w:rFonts w:ascii="Times New Roman" w:hAnsi="Times New Roman"/>
          <w:b/>
          <w:sz w:val="22"/>
          <w:szCs w:val="22"/>
          <w:lang w:val="en-GB"/>
        </w:rPr>
        <w:t xml:space="preserve">(28 % of INTOSAI members) </w:t>
      </w:r>
      <w:r w:rsidRPr="00C02C2C">
        <w:rPr>
          <w:rFonts w:ascii="Times New Roman" w:hAnsi="Times New Roman"/>
          <w:b/>
          <w:sz w:val="22"/>
          <w:szCs w:val="22"/>
          <w:lang w:val="en-GB"/>
        </w:rPr>
        <w:t>as reviewers</w:t>
      </w:r>
      <w:r w:rsidR="00184F38" w:rsidRPr="00C02C2C">
        <w:rPr>
          <w:b/>
          <w:sz w:val="22"/>
          <w:lang w:val="en-GB"/>
        </w:rPr>
        <w:t xml:space="preserve"> </w:t>
      </w:r>
      <w:r w:rsidRPr="00C02C2C">
        <w:rPr>
          <w:rFonts w:ascii="Times New Roman" w:hAnsi="Times New Roman"/>
          <w:b/>
          <w:sz w:val="22"/>
          <w:szCs w:val="22"/>
          <w:lang w:val="en-GB"/>
        </w:rPr>
        <w:t xml:space="preserve">were </w:t>
      </w:r>
      <w:r w:rsidR="00490434" w:rsidRPr="00C02C2C">
        <w:rPr>
          <w:rFonts w:ascii="Times New Roman" w:hAnsi="Times New Roman"/>
          <w:b/>
          <w:sz w:val="22"/>
          <w:szCs w:val="22"/>
          <w:lang w:val="en-GB"/>
        </w:rPr>
        <w:t xml:space="preserve">involved in </w:t>
      </w:r>
      <w:r w:rsidR="00957C26">
        <w:rPr>
          <w:rFonts w:ascii="Times New Roman" w:hAnsi="Times New Roman"/>
          <w:b/>
          <w:sz w:val="22"/>
          <w:szCs w:val="22"/>
          <w:lang w:val="en-GB"/>
        </w:rPr>
        <w:t>projects 1999 – 2015</w:t>
      </w:r>
      <w:r w:rsidRPr="00C02C2C">
        <w:rPr>
          <w:rFonts w:ascii="Times New Roman" w:hAnsi="Times New Roman"/>
          <w:b/>
          <w:sz w:val="22"/>
          <w:szCs w:val="22"/>
          <w:lang w:val="en-GB"/>
        </w:rPr>
        <w:t>.</w:t>
      </w:r>
    </w:p>
    <w:p w:rsidR="00490434" w:rsidRPr="00C02C2C" w:rsidRDefault="00490434" w:rsidP="00490434">
      <w:pPr>
        <w:pStyle w:val="Odsekzoznamu"/>
        <w:autoSpaceDE w:val="0"/>
        <w:autoSpaceDN w:val="0"/>
        <w:adjustRightInd w:val="0"/>
        <w:ind w:left="0" w:right="-426"/>
        <w:jc w:val="center"/>
        <w:rPr>
          <w:rFonts w:ascii="Times New Roman" w:hAnsi="Times New Roman"/>
          <w:b/>
          <w:sz w:val="22"/>
          <w:lang w:val="en-GB"/>
        </w:rPr>
      </w:pPr>
    </w:p>
    <w:tbl>
      <w:tblPr>
        <w:tblStyle w:val="Mriekatabuky1"/>
        <w:tblW w:w="0" w:type="auto"/>
        <w:jc w:val="center"/>
        <w:tblInd w:w="-2407" w:type="dxa"/>
        <w:tblLook w:val="04A0" w:firstRow="1" w:lastRow="0" w:firstColumn="1" w:lastColumn="0" w:noHBand="0" w:noVBand="1"/>
      </w:tblPr>
      <w:tblGrid>
        <w:gridCol w:w="6309"/>
        <w:gridCol w:w="1116"/>
      </w:tblGrid>
      <w:tr w:rsidR="0058781C" w:rsidRPr="00C02C2C" w:rsidTr="00EC3558">
        <w:trPr>
          <w:jc w:val="center"/>
        </w:trPr>
        <w:tc>
          <w:tcPr>
            <w:tcW w:w="6309" w:type="dxa"/>
            <w:vAlign w:val="center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33"/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b/>
                <w:sz w:val="16"/>
                <w:szCs w:val="16"/>
                <w:lang w:val="en-GB"/>
              </w:rPr>
              <w:t>SAI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ind w:left="-75"/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b/>
                <w:sz w:val="16"/>
                <w:szCs w:val="16"/>
                <w:lang w:val="en-GB"/>
              </w:rPr>
              <w:t>as peer reviewer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Netherlands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23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Sweden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22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184F38">
            <w:pPr>
              <w:tabs>
                <w:tab w:val="left" w:pos="709"/>
                <w:tab w:val="left" w:pos="10773"/>
                <w:tab w:val="left" w:pos="10915"/>
              </w:tabs>
              <w:ind w:left="175" w:right="-922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Norway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20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United Kingdom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16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Denmark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11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ECA, Germany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9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8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Australia, France, RSA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7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Austria, Peru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6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Poland, USA, Chile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Finland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New Zealand, India, Portugal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C02C2C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Switzerland, Slovenia, Zimbabwe, Tanzania, Uganda, Guam, Brazil</w:t>
            </w:r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</w:tr>
      <w:tr w:rsidR="0058781C" w:rsidRPr="00C02C2C" w:rsidTr="00EC3558">
        <w:trPr>
          <w:jc w:val="center"/>
        </w:trPr>
        <w:tc>
          <w:tcPr>
            <w:tcW w:w="6309" w:type="dxa"/>
          </w:tcPr>
          <w:p w:rsidR="0058781C" w:rsidRPr="00633939" w:rsidRDefault="0058781C" w:rsidP="0058781C">
            <w:pPr>
              <w:tabs>
                <w:tab w:val="left" w:pos="709"/>
                <w:tab w:val="left" w:pos="10773"/>
                <w:tab w:val="left" w:pos="10915"/>
              </w:tabs>
              <w:ind w:left="175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633939">
              <w:rPr>
                <w:rFonts w:cs="Times New Roman"/>
                <w:sz w:val="16"/>
                <w:szCs w:val="16"/>
              </w:rPr>
              <w:t>Belgium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Puerto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Rico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Costa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Rica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Spain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Estonia,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Latvia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Kenya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Zimbabwe,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Portugal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Lithuania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Malawi, Viet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Nam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Russia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Rwanda,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Bahamas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Honduras, Morocco, Kosrae,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Namibia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American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 Samoa, Slovakia, Eritrea,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Ireland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Luxembourg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Mexico</w:t>
            </w:r>
            <w:proofErr w:type="spellEnd"/>
            <w:r w:rsidRPr="0063393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3939">
              <w:rPr>
                <w:rFonts w:cs="Times New Roman"/>
                <w:sz w:val="16"/>
                <w:szCs w:val="16"/>
              </w:rPr>
              <w:t>Scotland</w:t>
            </w:r>
            <w:proofErr w:type="spellEnd"/>
          </w:p>
        </w:tc>
        <w:tc>
          <w:tcPr>
            <w:tcW w:w="1116" w:type="dxa"/>
            <w:vAlign w:val="center"/>
          </w:tcPr>
          <w:p w:rsidR="0058781C" w:rsidRPr="00C02C2C" w:rsidRDefault="0058781C" w:rsidP="0058781C">
            <w:pPr>
              <w:tabs>
                <w:tab w:val="left" w:pos="1735"/>
                <w:tab w:val="left" w:pos="10773"/>
                <w:tab w:val="left" w:pos="10915"/>
              </w:tabs>
              <w:ind w:left="-75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C02C2C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</w:tr>
    </w:tbl>
    <w:p w:rsidR="0058781C" w:rsidRPr="00C02C2C" w:rsidRDefault="0058781C" w:rsidP="0058781C">
      <w:pPr>
        <w:spacing w:after="0" w:line="240" w:lineRule="auto"/>
        <w:ind w:left="426"/>
        <w:jc w:val="center"/>
        <w:rPr>
          <w:rFonts w:ascii="Arial Narrow" w:hAnsi="Arial Narrow"/>
          <w:sz w:val="22"/>
          <w:lang w:val="en-GB"/>
        </w:rPr>
      </w:pPr>
    </w:p>
    <w:p w:rsidR="0058781C" w:rsidRPr="00C02C2C" w:rsidRDefault="0058781C" w:rsidP="0058781C">
      <w:pPr>
        <w:spacing w:after="0" w:line="240" w:lineRule="auto"/>
        <w:ind w:left="284" w:right="142"/>
        <w:rPr>
          <w:rFonts w:asciiTheme="minorHAnsi" w:hAnsiTheme="minorHAnsi" w:cstheme="minorHAnsi"/>
          <w:sz w:val="16"/>
          <w:szCs w:val="16"/>
          <w:lang w:val="en-GB"/>
        </w:rPr>
      </w:pPr>
    </w:p>
    <w:p w:rsidR="0058781C" w:rsidRPr="00C02C2C" w:rsidRDefault="0058781C" w:rsidP="00EC3558">
      <w:pPr>
        <w:pStyle w:val="Odsekzoznamu"/>
        <w:ind w:left="0"/>
        <w:jc w:val="center"/>
        <w:rPr>
          <w:rFonts w:ascii="Times New Roman" w:hAnsi="Times New Roman"/>
          <w:b/>
          <w:sz w:val="22"/>
          <w:lang w:val="en-GB"/>
        </w:rPr>
      </w:pPr>
      <w:r w:rsidRPr="00C02C2C">
        <w:rPr>
          <w:rFonts w:ascii="Times New Roman" w:hAnsi="Times New Roman"/>
          <w:b/>
          <w:sz w:val="22"/>
          <w:lang w:val="en-GB"/>
        </w:rPr>
        <w:t xml:space="preserve">The peer reviewers’ engagement in all peer review projects since 1999 </w:t>
      </w:r>
      <w:r w:rsidR="00184F38" w:rsidRPr="00C02C2C">
        <w:rPr>
          <w:rFonts w:ascii="Times New Roman" w:hAnsi="Times New Roman"/>
          <w:b/>
          <w:sz w:val="22"/>
          <w:lang w:val="en-GB"/>
        </w:rPr>
        <w:t>by INTOSAI regions</w:t>
      </w:r>
    </w:p>
    <w:p w:rsidR="0058781C" w:rsidRPr="00C02C2C" w:rsidRDefault="0058781C" w:rsidP="0058781C">
      <w:pPr>
        <w:spacing w:after="0" w:line="240" w:lineRule="auto"/>
        <w:ind w:left="426" w:right="141"/>
        <w:jc w:val="center"/>
        <w:rPr>
          <w:rFonts w:ascii="Monotype Corsiva" w:hAnsi="Monotype Corsiva"/>
          <w:b/>
          <w:color w:val="C00000"/>
          <w:sz w:val="16"/>
          <w:szCs w:val="16"/>
          <w:lang w:val="en-GB"/>
        </w:rPr>
      </w:pPr>
    </w:p>
    <w:p w:rsidR="0058781C" w:rsidRPr="00C02C2C" w:rsidRDefault="0058781C" w:rsidP="00EC3558">
      <w:pPr>
        <w:spacing w:after="0" w:line="240" w:lineRule="auto"/>
        <w:ind w:right="-46"/>
        <w:jc w:val="center"/>
        <w:rPr>
          <w:rFonts w:ascii="Monotype Corsiva" w:hAnsi="Monotype Corsiva"/>
          <w:b/>
          <w:color w:val="C00000"/>
          <w:sz w:val="16"/>
          <w:szCs w:val="16"/>
          <w:lang w:val="en-GB"/>
        </w:rPr>
      </w:pPr>
      <w:r w:rsidRPr="00C02C2C">
        <w:rPr>
          <w:noProof/>
          <w:lang w:eastAsia="sk-SK"/>
        </w:rPr>
        <w:drawing>
          <wp:inline distT="0" distB="0" distL="0" distR="0" wp14:anchorId="3C990E35" wp14:editId="56C2ECEE">
            <wp:extent cx="4783015" cy="2256693"/>
            <wp:effectExtent l="0" t="0" r="17780" b="1079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F38" w:rsidRPr="00C02C2C" w:rsidRDefault="00E04A8D" w:rsidP="00184F38">
      <w:pPr>
        <w:ind w:right="-3"/>
        <w:jc w:val="both"/>
        <w:rPr>
          <w:rFonts w:cs="Times New Roman"/>
          <w:b/>
          <w:sz w:val="22"/>
          <w:lang w:val="en-GB"/>
        </w:rPr>
      </w:pPr>
      <w:r w:rsidRPr="00C02C2C">
        <w:rPr>
          <w:rFonts w:cs="Times New Roman"/>
          <w:b/>
          <w:sz w:val="22"/>
          <w:lang w:val="en-GB"/>
        </w:rPr>
        <w:t xml:space="preserve">                        </w:t>
      </w:r>
      <w:r w:rsidR="00184F38" w:rsidRPr="00C02C2C">
        <w:rPr>
          <w:rFonts w:cs="Times New Roman"/>
          <w:b/>
          <w:sz w:val="22"/>
          <w:lang w:val="en-GB"/>
        </w:rPr>
        <w:t xml:space="preserve">                               </w:t>
      </w:r>
    </w:p>
    <w:p w:rsidR="00184F38" w:rsidRPr="00C02C2C" w:rsidRDefault="00184F38" w:rsidP="00EC3558">
      <w:pPr>
        <w:pStyle w:val="Odsekzoznamu"/>
        <w:ind w:left="0" w:right="-3"/>
        <w:jc w:val="center"/>
        <w:rPr>
          <w:rFonts w:ascii="Times New Roman" w:hAnsi="Times New Roman"/>
          <w:b/>
          <w:sz w:val="22"/>
          <w:lang w:val="en-GB"/>
        </w:rPr>
      </w:pPr>
      <w:r w:rsidRPr="00C02C2C">
        <w:rPr>
          <w:rFonts w:ascii="Times New Roman" w:hAnsi="Times New Roman"/>
          <w:b/>
          <w:sz w:val="22"/>
          <w:lang w:val="en-GB"/>
        </w:rPr>
        <w:t>Peer reviews performed by year</w:t>
      </w:r>
    </w:p>
    <w:p w:rsidR="00E04A8D" w:rsidRPr="00C02C2C" w:rsidRDefault="00E04A8D" w:rsidP="00184F38">
      <w:pPr>
        <w:pStyle w:val="Odsekzoznamu"/>
        <w:ind w:right="-3"/>
        <w:jc w:val="both"/>
        <w:rPr>
          <w:rFonts w:ascii="Times New Roman" w:hAnsi="Times New Roman"/>
          <w:b/>
          <w:sz w:val="22"/>
          <w:lang w:val="en-GB"/>
        </w:rPr>
      </w:pPr>
      <w:r w:rsidRPr="00C02C2C">
        <w:rPr>
          <w:rFonts w:ascii="Times New Roman" w:hAnsi="Times New Roman"/>
          <w:b/>
          <w:sz w:val="22"/>
          <w:lang w:val="en-GB"/>
        </w:rPr>
        <w:t xml:space="preserve">                                  </w:t>
      </w:r>
      <w:r w:rsidR="00490434" w:rsidRPr="00C02C2C">
        <w:rPr>
          <w:rFonts w:ascii="Times New Roman" w:hAnsi="Times New Roman"/>
          <w:b/>
          <w:sz w:val="22"/>
          <w:lang w:val="en-GB"/>
        </w:rPr>
        <w:t xml:space="preserve">                             </w:t>
      </w:r>
      <w:r w:rsidRPr="00C02C2C">
        <w:rPr>
          <w:rFonts w:ascii="Times New Roman" w:hAnsi="Times New Roman"/>
          <w:b/>
          <w:sz w:val="22"/>
          <w:lang w:val="en-GB"/>
        </w:rPr>
        <w:t xml:space="preserve">                   </w:t>
      </w:r>
      <w:r w:rsidRPr="00C02C2C">
        <w:rPr>
          <w:rFonts w:ascii="Times New Roman" w:hAnsi="Times New Roman"/>
          <w:b/>
          <w:color w:val="FF0000"/>
          <w:sz w:val="22"/>
          <w:lang w:val="en-GB"/>
        </w:rPr>
        <w:t xml:space="preserve"> </w:t>
      </w:r>
    </w:p>
    <w:p w:rsidR="00FA75A9" w:rsidRPr="00C02C2C" w:rsidRDefault="00184F38" w:rsidP="00095ABC">
      <w:pPr>
        <w:tabs>
          <w:tab w:val="left" w:pos="709"/>
        </w:tabs>
        <w:ind w:right="-3"/>
        <w:jc w:val="center"/>
        <w:rPr>
          <w:rFonts w:cs="Times New Roman"/>
          <w:szCs w:val="24"/>
          <w:lang w:val="en-GB"/>
        </w:rPr>
      </w:pPr>
      <w:r w:rsidRPr="00C02C2C">
        <w:rPr>
          <w:noProof/>
          <w:lang w:eastAsia="sk-SK"/>
        </w:rPr>
        <w:drawing>
          <wp:inline distT="0" distB="0" distL="0" distR="0" wp14:anchorId="0F0852F6" wp14:editId="4D635B71">
            <wp:extent cx="4870938" cy="2233246"/>
            <wp:effectExtent l="19050" t="19050" r="25400" b="1524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5A9" w:rsidRPr="00C02C2C" w:rsidRDefault="00FA75A9" w:rsidP="00095ABC">
      <w:pPr>
        <w:tabs>
          <w:tab w:val="left" w:pos="709"/>
        </w:tabs>
        <w:ind w:right="-3"/>
        <w:jc w:val="both"/>
        <w:rPr>
          <w:lang w:val="en-GB"/>
        </w:rPr>
      </w:pPr>
    </w:p>
    <w:p w:rsidR="00FA387E" w:rsidRPr="00C02C2C" w:rsidRDefault="00FA387E" w:rsidP="00095ABC">
      <w:pPr>
        <w:tabs>
          <w:tab w:val="left" w:pos="709"/>
        </w:tabs>
        <w:ind w:right="-3"/>
        <w:jc w:val="both"/>
        <w:rPr>
          <w:lang w:val="en-GB"/>
        </w:rPr>
      </w:pPr>
    </w:p>
    <w:p w:rsidR="005C2CA5" w:rsidRPr="00C02C2C" w:rsidRDefault="005C2CA5" w:rsidP="00095ABC">
      <w:pPr>
        <w:tabs>
          <w:tab w:val="left" w:pos="709"/>
        </w:tabs>
        <w:ind w:right="-3"/>
        <w:jc w:val="both"/>
        <w:rPr>
          <w:lang w:val="en-GB"/>
        </w:rPr>
      </w:pPr>
    </w:p>
    <w:p w:rsidR="00095ABC" w:rsidRPr="00C02C2C" w:rsidRDefault="00095ABC" w:rsidP="00095ABC">
      <w:pPr>
        <w:spacing w:after="0" w:line="240" w:lineRule="auto"/>
        <w:ind w:right="141"/>
        <w:rPr>
          <w:rFonts w:cs="Times New Roman"/>
          <w:b/>
          <w:sz w:val="22"/>
          <w:lang w:val="en-GB"/>
        </w:rPr>
      </w:pPr>
      <w:r w:rsidRPr="00C02C2C">
        <w:rPr>
          <w:rFonts w:cs="Times New Roman"/>
          <w:b/>
          <w:sz w:val="22"/>
          <w:lang w:val="en-GB"/>
        </w:rPr>
        <w:lastRenderedPageBreak/>
        <w:t xml:space="preserve">Other </w:t>
      </w:r>
      <w:r w:rsidR="00490434" w:rsidRPr="00C02C2C">
        <w:rPr>
          <w:rFonts w:cs="Times New Roman"/>
          <w:b/>
          <w:sz w:val="22"/>
          <w:lang w:val="en-GB"/>
        </w:rPr>
        <w:t>f</w:t>
      </w:r>
      <w:r w:rsidRPr="00C02C2C">
        <w:rPr>
          <w:rFonts w:cs="Times New Roman"/>
          <w:b/>
          <w:sz w:val="22"/>
          <w:lang w:val="en-GB"/>
        </w:rPr>
        <w:t>acts:</w:t>
      </w:r>
    </w:p>
    <w:p w:rsidR="00095ABC" w:rsidRPr="00C02C2C" w:rsidRDefault="00095ABC" w:rsidP="00095ABC">
      <w:pPr>
        <w:spacing w:after="0" w:line="240" w:lineRule="auto"/>
        <w:ind w:right="141"/>
        <w:rPr>
          <w:rFonts w:cs="Times New Roman"/>
          <w:sz w:val="22"/>
          <w:lang w:val="en-GB"/>
        </w:rPr>
      </w:pPr>
    </w:p>
    <w:p w:rsidR="00095ABC" w:rsidRPr="00C02C2C" w:rsidRDefault="00957C26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>
        <w:rPr>
          <w:sz w:val="22"/>
          <w:lang w:val="en-GB"/>
        </w:rPr>
        <w:t>In period 1999 – 2015</w:t>
      </w:r>
      <w:r w:rsidR="00095ABC" w:rsidRPr="00C02C2C">
        <w:rPr>
          <w:sz w:val="22"/>
          <w:lang w:val="en-GB"/>
        </w:rPr>
        <w:t xml:space="preserve"> there were 5.4 peer reviews</w:t>
      </w:r>
      <w:r w:rsidR="00633939">
        <w:rPr>
          <w:sz w:val="22"/>
          <w:lang w:val="en-GB"/>
        </w:rPr>
        <w:t xml:space="preserve"> on average</w:t>
      </w:r>
      <w:r w:rsidR="00095ABC" w:rsidRPr="00C02C2C">
        <w:rPr>
          <w:sz w:val="22"/>
          <w:lang w:val="en-GB"/>
        </w:rPr>
        <w:t xml:space="preserve"> per year.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 xml:space="preserve">A peer reviewing team was composed from 3 SAIs. 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Average number of auditors from reviewed SAI directly involved in the peer review: 12;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Average number of auditors from reviewing SAIs directly involved in the peer review: 6.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Average number of days spent by the peer reviewing team at the peer reviewed SAI premises: 14 days;</w:t>
      </w:r>
    </w:p>
    <w:p w:rsidR="00490434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 xml:space="preserve">Topics and scope of the peer review varied widely according to the peer review goal. 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Recommendations ranged from few to several dozen;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Follow-ups by the peer reviewing team were seldom;</w:t>
      </w:r>
    </w:p>
    <w:p w:rsidR="00095ABC" w:rsidRPr="00C02C2C" w:rsidRDefault="00095ABC" w:rsidP="008970E6">
      <w:pPr>
        <w:pStyle w:val="Bezriadkovania"/>
        <w:numPr>
          <w:ilvl w:val="0"/>
          <w:numId w:val="7"/>
        </w:numPr>
        <w:rPr>
          <w:sz w:val="22"/>
          <w:lang w:val="en-GB"/>
        </w:rPr>
      </w:pPr>
      <w:r w:rsidRPr="00C02C2C">
        <w:rPr>
          <w:sz w:val="22"/>
          <w:lang w:val="en-GB"/>
        </w:rPr>
        <w:t>ISSAI 5600 and Checklist were used primarily for constructing MoU, planning and selection of the questions used for peer review.</w:t>
      </w:r>
    </w:p>
    <w:p w:rsidR="00B91FC6" w:rsidRPr="00C02C2C" w:rsidRDefault="00B91FC6" w:rsidP="00B91FC6">
      <w:pPr>
        <w:pStyle w:val="Bezriadkovania"/>
        <w:rPr>
          <w:b/>
          <w:sz w:val="22"/>
          <w:lang w:val="en-GB"/>
        </w:rPr>
      </w:pPr>
    </w:p>
    <w:p w:rsidR="00FA387E" w:rsidRPr="00C02C2C" w:rsidRDefault="00FA387E" w:rsidP="00B91FC6">
      <w:pPr>
        <w:pStyle w:val="Bezriadkovania"/>
        <w:rPr>
          <w:b/>
          <w:sz w:val="22"/>
          <w:lang w:val="en-GB"/>
        </w:rPr>
      </w:pPr>
    </w:p>
    <w:p w:rsidR="00FA387E" w:rsidRPr="00C02C2C" w:rsidRDefault="00FA387E" w:rsidP="00B91FC6">
      <w:pPr>
        <w:pStyle w:val="Bezriadkovania"/>
        <w:rPr>
          <w:b/>
          <w:sz w:val="22"/>
          <w:lang w:val="en-GB"/>
        </w:rPr>
      </w:pPr>
    </w:p>
    <w:p w:rsidR="001047C6" w:rsidRPr="00C02C2C" w:rsidRDefault="001047C6" w:rsidP="00B91FC6">
      <w:pPr>
        <w:pStyle w:val="Bezriadkovania"/>
        <w:rPr>
          <w:b/>
          <w:sz w:val="22"/>
          <w:lang w:val="en-GB"/>
        </w:rPr>
      </w:pPr>
      <w:r w:rsidRPr="00C02C2C">
        <w:rPr>
          <w:b/>
          <w:sz w:val="22"/>
          <w:lang w:val="en-GB"/>
        </w:rPr>
        <w:t>Survey conclusions</w:t>
      </w:r>
    </w:p>
    <w:p w:rsidR="00B91FC6" w:rsidRPr="00C02C2C" w:rsidRDefault="00B91FC6" w:rsidP="00B91FC6">
      <w:pPr>
        <w:pStyle w:val="Bezriadkovania"/>
        <w:rPr>
          <w:sz w:val="22"/>
          <w:lang w:val="en-GB"/>
        </w:rPr>
      </w:pPr>
    </w:p>
    <w:p w:rsidR="001047C6" w:rsidRPr="00C02C2C" w:rsidRDefault="00B91FC6" w:rsidP="00B91FC6">
      <w:pPr>
        <w:pStyle w:val="Bezriadkovania"/>
        <w:rPr>
          <w:sz w:val="22"/>
          <w:lang w:val="en-GB"/>
        </w:rPr>
      </w:pPr>
      <w:r w:rsidRPr="00C02C2C">
        <w:rPr>
          <w:sz w:val="22"/>
          <w:lang w:val="en-GB"/>
        </w:rPr>
        <w:t>The survey participants took a</w:t>
      </w:r>
      <w:r w:rsidR="001047C6" w:rsidRPr="00C02C2C">
        <w:rPr>
          <w:sz w:val="22"/>
          <w:lang w:val="en-GB"/>
        </w:rPr>
        <w:t xml:space="preserve"> peer review as opportunity to:</w:t>
      </w:r>
    </w:p>
    <w:p w:rsidR="001047C6" w:rsidRPr="00C02C2C" w:rsidRDefault="001047C6" w:rsidP="008970E6">
      <w:pPr>
        <w:pStyle w:val="Bezriadkovania"/>
        <w:numPr>
          <w:ilvl w:val="0"/>
          <w:numId w:val="8"/>
        </w:numPr>
        <w:rPr>
          <w:sz w:val="22"/>
          <w:lang w:val="en-GB"/>
        </w:rPr>
      </w:pPr>
      <w:r w:rsidRPr="00C02C2C">
        <w:rPr>
          <w:sz w:val="22"/>
          <w:lang w:val="en-GB"/>
        </w:rPr>
        <w:t>confirm good work done by the reviewed SAI;</w:t>
      </w:r>
    </w:p>
    <w:p w:rsidR="001047C6" w:rsidRPr="00C02C2C" w:rsidRDefault="001047C6" w:rsidP="008970E6">
      <w:pPr>
        <w:pStyle w:val="Bezriadkovania"/>
        <w:numPr>
          <w:ilvl w:val="0"/>
          <w:numId w:val="8"/>
        </w:numPr>
        <w:rPr>
          <w:sz w:val="22"/>
          <w:lang w:val="en-GB"/>
        </w:rPr>
      </w:pPr>
      <w:r w:rsidRPr="00C02C2C">
        <w:rPr>
          <w:sz w:val="22"/>
          <w:lang w:val="en-GB"/>
        </w:rPr>
        <w:t xml:space="preserve">uncover gaps in the reviewed SAI activities; </w:t>
      </w:r>
    </w:p>
    <w:p w:rsidR="001047C6" w:rsidRPr="00C02C2C" w:rsidRDefault="001047C6" w:rsidP="008970E6">
      <w:pPr>
        <w:pStyle w:val="Bezriadkovania"/>
        <w:numPr>
          <w:ilvl w:val="0"/>
          <w:numId w:val="8"/>
        </w:numPr>
        <w:rPr>
          <w:sz w:val="22"/>
          <w:lang w:val="en-GB"/>
        </w:rPr>
      </w:pPr>
      <w:r w:rsidRPr="00C02C2C">
        <w:rPr>
          <w:sz w:val="22"/>
          <w:lang w:val="en-GB"/>
        </w:rPr>
        <w:t xml:space="preserve">source and get ideas for continuous improvement in the given SAI audit activities and help to build the SAIs as modern institutions; </w:t>
      </w:r>
    </w:p>
    <w:p w:rsidR="001047C6" w:rsidRPr="00C02C2C" w:rsidRDefault="001047C6" w:rsidP="008970E6">
      <w:pPr>
        <w:pStyle w:val="Bezriadkovania"/>
        <w:numPr>
          <w:ilvl w:val="0"/>
          <w:numId w:val="8"/>
        </w:numPr>
        <w:rPr>
          <w:sz w:val="22"/>
          <w:lang w:val="en-GB"/>
        </w:rPr>
      </w:pPr>
      <w:proofErr w:type="gramStart"/>
      <w:r w:rsidRPr="00C02C2C">
        <w:rPr>
          <w:sz w:val="22"/>
          <w:lang w:val="en-GB"/>
        </w:rPr>
        <w:t>benefit</w:t>
      </w:r>
      <w:proofErr w:type="gramEnd"/>
      <w:r w:rsidRPr="00C02C2C">
        <w:rPr>
          <w:sz w:val="22"/>
          <w:lang w:val="en-GB"/>
        </w:rPr>
        <w:t xml:space="preserve"> participants in form of information, knowledge and experience exchange. </w:t>
      </w:r>
    </w:p>
    <w:p w:rsidR="00FA75A9" w:rsidRPr="00C02C2C" w:rsidRDefault="00FA75A9" w:rsidP="00FA75A9">
      <w:pPr>
        <w:tabs>
          <w:tab w:val="left" w:pos="709"/>
        </w:tabs>
        <w:ind w:left="567" w:right="-3"/>
        <w:jc w:val="both"/>
        <w:rPr>
          <w:lang w:val="en-GB"/>
        </w:rPr>
      </w:pPr>
    </w:p>
    <w:p w:rsidR="005C2CA5" w:rsidRPr="00C02C2C" w:rsidRDefault="005C2CA5" w:rsidP="00FA75A9">
      <w:pPr>
        <w:tabs>
          <w:tab w:val="left" w:pos="709"/>
        </w:tabs>
        <w:ind w:left="567" w:right="-3"/>
        <w:jc w:val="both"/>
        <w:rPr>
          <w:lang w:val="en-GB"/>
        </w:rPr>
      </w:pPr>
    </w:p>
    <w:p w:rsidR="00C42BDA" w:rsidRPr="00C02C2C" w:rsidRDefault="0025598F" w:rsidP="00EF66F5">
      <w:pPr>
        <w:tabs>
          <w:tab w:val="left" w:pos="0"/>
          <w:tab w:val="left" w:pos="360"/>
          <w:tab w:val="left" w:pos="1440"/>
        </w:tabs>
        <w:spacing w:after="120" w:line="300" w:lineRule="exact"/>
        <w:ind w:left="1440" w:hanging="1440"/>
        <w:jc w:val="both"/>
        <w:rPr>
          <w:b/>
          <w:szCs w:val="24"/>
          <w:lang w:val="en-GB"/>
        </w:rPr>
      </w:pPr>
      <w:r w:rsidRPr="00C02C2C">
        <w:rPr>
          <w:b/>
          <w:szCs w:val="24"/>
          <w:lang w:val="en-GB"/>
        </w:rPr>
        <w:t xml:space="preserve">2) </w:t>
      </w:r>
      <w:r w:rsidRPr="00C02C2C">
        <w:rPr>
          <w:b/>
          <w:szCs w:val="24"/>
          <w:lang w:val="en-GB"/>
        </w:rPr>
        <w:tab/>
        <w:t>Task b.: Foster</w:t>
      </w:r>
      <w:r w:rsidR="00696709" w:rsidRPr="00C02C2C">
        <w:rPr>
          <w:b/>
          <w:szCs w:val="24"/>
          <w:lang w:val="en-GB"/>
        </w:rPr>
        <w:t xml:space="preserve"> environment where voluntary peer reviews are seen as beneficial</w:t>
      </w:r>
    </w:p>
    <w:p w:rsidR="00B91FC6" w:rsidRPr="00C02C2C" w:rsidRDefault="00696709" w:rsidP="008970E6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en-GB"/>
        </w:rPr>
      </w:pPr>
      <w:r w:rsidRPr="00C02C2C">
        <w:rPr>
          <w:lang w:val="en-GB"/>
        </w:rPr>
        <w:t>In order t</w:t>
      </w:r>
      <w:r w:rsidR="00062C32" w:rsidRPr="00C02C2C">
        <w:rPr>
          <w:lang w:val="en-GB"/>
        </w:rPr>
        <w:t>o promote voluntary peer review concept</w:t>
      </w:r>
      <w:r w:rsidRPr="00C02C2C">
        <w:rPr>
          <w:lang w:val="en-GB"/>
        </w:rPr>
        <w:t xml:space="preserve"> and ge</w:t>
      </w:r>
      <w:r w:rsidR="00062C32" w:rsidRPr="00C02C2C">
        <w:rPr>
          <w:lang w:val="en-GB"/>
        </w:rPr>
        <w:t>neral knowledge about it</w:t>
      </w:r>
      <w:r w:rsidR="00913AC7" w:rsidRPr="00C02C2C">
        <w:rPr>
          <w:lang w:val="en-GB"/>
        </w:rPr>
        <w:t>,</w:t>
      </w:r>
      <w:r w:rsidRPr="00C02C2C">
        <w:rPr>
          <w:lang w:val="en-GB"/>
        </w:rPr>
        <w:t xml:space="preserve"> </w:t>
      </w:r>
      <w:r w:rsidR="00E543B8" w:rsidRPr="00C02C2C">
        <w:rPr>
          <w:lang w:val="en-GB"/>
        </w:rPr>
        <w:t xml:space="preserve">the </w:t>
      </w:r>
      <w:r w:rsidR="00E543B8" w:rsidRPr="00C02C2C">
        <w:rPr>
          <w:i/>
          <w:lang w:val="en-GB"/>
        </w:rPr>
        <w:t>Sub-Committee</w:t>
      </w:r>
      <w:r w:rsidR="00E543B8" w:rsidRPr="00C02C2C">
        <w:rPr>
          <w:lang w:val="en-GB"/>
        </w:rPr>
        <w:t xml:space="preserve"> </w:t>
      </w:r>
      <w:r w:rsidR="00913AC7" w:rsidRPr="00C02C2C">
        <w:rPr>
          <w:lang w:val="en-GB"/>
        </w:rPr>
        <w:t>informed the INTOSAI community members</w:t>
      </w:r>
      <w:r w:rsidR="00737BB3" w:rsidRPr="00C02C2C">
        <w:rPr>
          <w:lang w:val="en-GB"/>
        </w:rPr>
        <w:t xml:space="preserve"> and other interested parties </w:t>
      </w:r>
      <w:r w:rsidR="00913AC7" w:rsidRPr="00C02C2C">
        <w:rPr>
          <w:lang w:val="en-GB"/>
        </w:rPr>
        <w:t xml:space="preserve"> on the progress made in the </w:t>
      </w:r>
      <w:r w:rsidR="00913AC7" w:rsidRPr="00C02C2C">
        <w:rPr>
          <w:i/>
          <w:lang w:val="en-GB"/>
        </w:rPr>
        <w:t>Sub-Committee</w:t>
      </w:r>
      <w:r w:rsidR="00913AC7" w:rsidRPr="00C02C2C">
        <w:rPr>
          <w:lang w:val="en-GB"/>
        </w:rPr>
        <w:t xml:space="preserve"> </w:t>
      </w:r>
      <w:r w:rsidR="00E12DF0" w:rsidRPr="00C02C2C">
        <w:rPr>
          <w:lang w:val="en-GB"/>
        </w:rPr>
        <w:t xml:space="preserve">work on the ISSAI 5600 revision, </w:t>
      </w:r>
      <w:r w:rsidR="00913AC7" w:rsidRPr="00C02C2C">
        <w:rPr>
          <w:lang w:val="en-GB"/>
        </w:rPr>
        <w:t>e-mail survey results</w:t>
      </w:r>
      <w:r w:rsidR="00E12DF0" w:rsidRPr="00C02C2C">
        <w:rPr>
          <w:lang w:val="en-GB"/>
        </w:rPr>
        <w:t xml:space="preserve"> and other peer review related topics</w:t>
      </w:r>
      <w:r w:rsidR="00B91FC6" w:rsidRPr="00C02C2C">
        <w:rPr>
          <w:lang w:val="en-GB"/>
        </w:rPr>
        <w:t xml:space="preserve"> on selected internet pages:</w:t>
      </w:r>
    </w:p>
    <w:p w:rsidR="00B91FC6" w:rsidRPr="00C02C2C" w:rsidRDefault="00E12DF0" w:rsidP="00B91FC6">
      <w:pPr>
        <w:pStyle w:val="Normlnywebov"/>
        <w:spacing w:before="0" w:beforeAutospacing="0" w:after="0" w:afterAutospacing="0"/>
        <w:jc w:val="both"/>
        <w:textAlignment w:val="baseline"/>
        <w:rPr>
          <w:lang w:val="en-GB"/>
        </w:rPr>
      </w:pPr>
      <w:r w:rsidRPr="00C02C2C">
        <w:rPr>
          <w:lang w:val="en-GB"/>
        </w:rPr>
        <w:t xml:space="preserve"> </w:t>
      </w:r>
    </w:p>
    <w:p w:rsidR="00B91FC6" w:rsidRPr="00C02C2C" w:rsidRDefault="00217C83" w:rsidP="00B91FC6">
      <w:pPr>
        <w:pStyle w:val="Bezriadkovania"/>
        <w:jc w:val="center"/>
        <w:rPr>
          <w:lang w:val="en-GB"/>
        </w:rPr>
      </w:pPr>
      <w:hyperlink r:id="rId22" w:history="1">
        <w:r w:rsidR="00B91FC6" w:rsidRPr="00C02C2C">
          <w:rPr>
            <w:u w:val="single"/>
            <w:lang w:val="en-GB"/>
          </w:rPr>
          <w:t>www.intosaijournal.org</w:t>
        </w:r>
      </w:hyperlink>
    </w:p>
    <w:p w:rsidR="00B91FC6" w:rsidRPr="00C02C2C" w:rsidRDefault="00217C83" w:rsidP="00B91FC6">
      <w:pPr>
        <w:pStyle w:val="Bezriadkovania"/>
        <w:jc w:val="center"/>
        <w:rPr>
          <w:rFonts w:eastAsiaTheme="minorEastAsia"/>
          <w:lang w:val="en-GB" w:eastAsia="sk-SK"/>
        </w:rPr>
      </w:pPr>
      <w:hyperlink r:id="rId23" w:history="1">
        <w:r w:rsidR="00B91FC6" w:rsidRPr="00C02C2C">
          <w:rPr>
            <w:rFonts w:eastAsiaTheme="minorEastAsia"/>
            <w:u w:val="single"/>
            <w:lang w:val="en-GB" w:eastAsia="sk-SK"/>
          </w:rPr>
          <w:t>www.intosaicbc.org</w:t>
        </w:r>
      </w:hyperlink>
    </w:p>
    <w:p w:rsidR="00B91FC6" w:rsidRPr="00C02C2C" w:rsidRDefault="00217C83" w:rsidP="00B91FC6">
      <w:pPr>
        <w:pStyle w:val="Bezriadkovania"/>
        <w:jc w:val="center"/>
        <w:rPr>
          <w:rFonts w:eastAsiaTheme="minorEastAsia"/>
          <w:lang w:val="en-GB" w:eastAsia="sk-SK"/>
        </w:rPr>
      </w:pPr>
      <w:hyperlink r:id="rId24" w:history="1">
        <w:r w:rsidR="00B91FC6" w:rsidRPr="00C02C2C">
          <w:rPr>
            <w:rStyle w:val="Hypertextovprepojenie"/>
            <w:rFonts w:eastAsiaTheme="minorEastAsia"/>
            <w:color w:val="auto"/>
            <w:lang w:val="en-GB" w:eastAsia="sk-SK"/>
          </w:rPr>
          <w:t>www.eurosai.org</w:t>
        </w:r>
      </w:hyperlink>
    </w:p>
    <w:p w:rsidR="00B91FC6" w:rsidRPr="00C02C2C" w:rsidRDefault="00217C83" w:rsidP="00B91FC6">
      <w:pPr>
        <w:pStyle w:val="Bezriadkovania"/>
        <w:jc w:val="center"/>
        <w:rPr>
          <w:rFonts w:eastAsiaTheme="minorEastAsia"/>
          <w:lang w:val="en-GB" w:eastAsia="sk-SK"/>
        </w:rPr>
      </w:pPr>
      <w:hyperlink r:id="rId25" w:history="1">
        <w:r w:rsidR="00B91FC6" w:rsidRPr="00C02C2C">
          <w:rPr>
            <w:rFonts w:eastAsiaTheme="minorEastAsia"/>
            <w:u w:val="single"/>
            <w:lang w:val="en-GB" w:eastAsia="sk-SK"/>
          </w:rPr>
          <w:t>www.issai.org</w:t>
        </w:r>
      </w:hyperlink>
    </w:p>
    <w:p w:rsidR="00355072" w:rsidRPr="00C02C2C" w:rsidRDefault="00355072" w:rsidP="00B91FC6">
      <w:pPr>
        <w:pStyle w:val="Bezriadkovania"/>
        <w:jc w:val="center"/>
        <w:rPr>
          <w:rFonts w:eastAsiaTheme="minorEastAsia"/>
          <w:lang w:val="en-GB" w:eastAsia="sk-SK"/>
        </w:rPr>
      </w:pPr>
    </w:p>
    <w:p w:rsidR="00F12B06" w:rsidRPr="00C02C2C" w:rsidRDefault="00B91FC6" w:rsidP="008970E6">
      <w:pPr>
        <w:pStyle w:val="Bezriadkovania"/>
        <w:numPr>
          <w:ilvl w:val="0"/>
          <w:numId w:val="10"/>
        </w:numPr>
        <w:jc w:val="both"/>
        <w:rPr>
          <w:rFonts w:eastAsia="Times New Roman"/>
          <w:lang w:val="en-GB" w:eastAsia="sk-SK"/>
        </w:rPr>
      </w:pPr>
      <w:r w:rsidRPr="00C02C2C">
        <w:rPr>
          <w:lang w:val="en-GB"/>
        </w:rPr>
        <w:t>SAO SR</w:t>
      </w:r>
      <w:r w:rsidR="00B1018A" w:rsidRPr="00C02C2C">
        <w:rPr>
          <w:lang w:val="en-GB"/>
        </w:rPr>
        <w:t xml:space="preserve">, </w:t>
      </w:r>
      <w:r w:rsidR="00355072" w:rsidRPr="00C02C2C">
        <w:rPr>
          <w:lang w:val="en-GB"/>
        </w:rPr>
        <w:t>S</w:t>
      </w:r>
      <w:r w:rsidR="00B1018A" w:rsidRPr="00C02C2C">
        <w:rPr>
          <w:lang w:val="en-GB"/>
        </w:rPr>
        <w:t xml:space="preserve">AI of Norway and </w:t>
      </w:r>
      <w:r w:rsidR="00F12B06" w:rsidRPr="00C02C2C">
        <w:rPr>
          <w:lang w:val="en-GB"/>
        </w:rPr>
        <w:t xml:space="preserve">INTOSAI General Secretariat </w:t>
      </w:r>
      <w:r w:rsidR="00C800C5" w:rsidRPr="00C02C2C">
        <w:rPr>
          <w:lang w:val="en-GB"/>
        </w:rPr>
        <w:t xml:space="preserve">(INTOSAI GS) </w:t>
      </w:r>
      <w:r w:rsidR="00355072" w:rsidRPr="00C02C2C">
        <w:rPr>
          <w:lang w:val="en-GB"/>
        </w:rPr>
        <w:t xml:space="preserve">signed a </w:t>
      </w:r>
      <w:r w:rsidR="00C800C5" w:rsidRPr="00C02C2C">
        <w:rPr>
          <w:lang w:val="en-GB"/>
        </w:rPr>
        <w:t xml:space="preserve">trilateral </w:t>
      </w:r>
      <w:r w:rsidR="00355072" w:rsidRPr="00C02C2C">
        <w:rPr>
          <w:lang w:val="en-GB"/>
        </w:rPr>
        <w:t xml:space="preserve">MoU in May and June 2016 to perform a review of the </w:t>
      </w:r>
      <w:r w:rsidR="00F12B06" w:rsidRPr="00C02C2C">
        <w:rPr>
          <w:lang w:val="en-GB"/>
        </w:rPr>
        <w:t>Global peer review on independence</w:t>
      </w:r>
      <w:r w:rsidR="00355072" w:rsidRPr="00C02C2C">
        <w:rPr>
          <w:lang w:val="en-GB"/>
        </w:rPr>
        <w:t xml:space="preserve"> being conducted by the</w:t>
      </w:r>
      <w:r w:rsidR="00C800C5" w:rsidRPr="00C02C2C">
        <w:rPr>
          <w:lang w:val="en-GB"/>
        </w:rPr>
        <w:t xml:space="preserve"> SAI of Austria, INTOSAI GS and other auditors from 7 relevant participating INTOSAI regions. Results are expected in 2017. </w:t>
      </w:r>
      <w:r w:rsidR="00355072" w:rsidRPr="00C02C2C">
        <w:rPr>
          <w:lang w:val="en-GB"/>
        </w:rPr>
        <w:t xml:space="preserve"> </w:t>
      </w:r>
      <w:r w:rsidR="00F12B06" w:rsidRPr="00C02C2C">
        <w:rPr>
          <w:lang w:val="en-GB"/>
        </w:rPr>
        <w:t xml:space="preserve"> </w:t>
      </w:r>
    </w:p>
    <w:p w:rsidR="00355072" w:rsidRPr="00C02C2C" w:rsidRDefault="00355072" w:rsidP="00355072">
      <w:pPr>
        <w:pStyle w:val="Bezriadkovania"/>
        <w:jc w:val="both"/>
        <w:rPr>
          <w:rFonts w:eastAsia="Times New Roman"/>
          <w:lang w:val="en-GB" w:eastAsia="sk-SK"/>
        </w:rPr>
      </w:pPr>
    </w:p>
    <w:p w:rsidR="003024C8" w:rsidRPr="00C02C2C" w:rsidRDefault="003024C8" w:rsidP="003024C8">
      <w:pPr>
        <w:tabs>
          <w:tab w:val="left" w:pos="0"/>
        </w:tabs>
        <w:spacing w:after="120" w:line="300" w:lineRule="exact"/>
        <w:jc w:val="both"/>
        <w:rPr>
          <w:b/>
          <w:lang w:val="en-GB"/>
        </w:rPr>
      </w:pPr>
    </w:p>
    <w:p w:rsidR="00FA387E" w:rsidRPr="00C02C2C" w:rsidRDefault="00FA387E" w:rsidP="003024C8">
      <w:pPr>
        <w:tabs>
          <w:tab w:val="left" w:pos="0"/>
        </w:tabs>
        <w:spacing w:after="120" w:line="300" w:lineRule="exact"/>
        <w:jc w:val="both"/>
        <w:rPr>
          <w:b/>
          <w:lang w:val="en-GB"/>
        </w:rPr>
      </w:pPr>
    </w:p>
    <w:p w:rsidR="00C42BDA" w:rsidRPr="00C02C2C" w:rsidRDefault="00696709" w:rsidP="00EF66F5">
      <w:pPr>
        <w:shd w:val="clear" w:color="auto" w:fill="FFFFFF" w:themeFill="background1"/>
        <w:tabs>
          <w:tab w:val="left" w:pos="360"/>
        </w:tabs>
        <w:spacing w:after="120" w:line="300" w:lineRule="exact"/>
        <w:jc w:val="both"/>
        <w:rPr>
          <w:b/>
          <w:szCs w:val="24"/>
          <w:lang w:val="en-GB"/>
        </w:rPr>
      </w:pPr>
      <w:r w:rsidRPr="00C02C2C">
        <w:rPr>
          <w:b/>
          <w:szCs w:val="24"/>
          <w:lang w:val="en-GB"/>
        </w:rPr>
        <w:t xml:space="preserve">3) </w:t>
      </w:r>
      <w:r w:rsidRPr="00C02C2C">
        <w:rPr>
          <w:b/>
          <w:szCs w:val="24"/>
          <w:lang w:val="en-GB"/>
        </w:rPr>
        <w:tab/>
        <w:t>Task c.: Update the peer review guidelines and provide best practice examples</w:t>
      </w:r>
    </w:p>
    <w:p w:rsidR="00696709" w:rsidRPr="00C02C2C" w:rsidRDefault="004E4B96" w:rsidP="00696709">
      <w:pPr>
        <w:tabs>
          <w:tab w:val="left" w:pos="0"/>
        </w:tabs>
        <w:spacing w:after="120" w:line="300" w:lineRule="exact"/>
        <w:jc w:val="both"/>
        <w:rPr>
          <w:szCs w:val="24"/>
          <w:lang w:val="en-GB"/>
        </w:rPr>
      </w:pPr>
      <w:r w:rsidRPr="00C02C2C">
        <w:rPr>
          <w:szCs w:val="24"/>
          <w:lang w:val="en-GB"/>
        </w:rPr>
        <w:t>In 2010, t</w:t>
      </w:r>
      <w:r w:rsidR="00696709" w:rsidRPr="00C02C2C">
        <w:rPr>
          <w:szCs w:val="24"/>
          <w:lang w:val="en-GB"/>
        </w:rPr>
        <w:t>he XX INCOSAI endorse</w:t>
      </w:r>
      <w:r w:rsidR="00CC308B" w:rsidRPr="00C02C2C">
        <w:rPr>
          <w:szCs w:val="24"/>
          <w:lang w:val="en-GB"/>
        </w:rPr>
        <w:t>d the Peer Review Guide with</w:t>
      </w:r>
      <w:r w:rsidR="00696709" w:rsidRPr="00C02C2C">
        <w:rPr>
          <w:szCs w:val="24"/>
          <w:lang w:val="en-GB"/>
        </w:rPr>
        <w:t xml:space="preserve"> Checklist as ISSAI</w:t>
      </w:r>
      <w:r w:rsidRPr="00C02C2C">
        <w:rPr>
          <w:szCs w:val="24"/>
          <w:lang w:val="en-GB"/>
        </w:rPr>
        <w:t xml:space="preserve"> 5600</w:t>
      </w:r>
      <w:r w:rsidR="00B40C1D" w:rsidRPr="00C02C2C">
        <w:rPr>
          <w:szCs w:val="24"/>
          <w:lang w:val="en-GB"/>
        </w:rPr>
        <w:t>. T</w:t>
      </w:r>
      <w:r w:rsidR="00927077" w:rsidRPr="00C02C2C">
        <w:rPr>
          <w:szCs w:val="24"/>
          <w:lang w:val="en-GB"/>
        </w:rPr>
        <w:t>he</w:t>
      </w:r>
      <w:r w:rsidRPr="00C02C2C">
        <w:rPr>
          <w:szCs w:val="24"/>
          <w:lang w:val="en-GB"/>
        </w:rPr>
        <w:t xml:space="preserve"> Guide</w:t>
      </w:r>
      <w:r w:rsidR="00696709" w:rsidRPr="00C02C2C">
        <w:rPr>
          <w:szCs w:val="24"/>
          <w:lang w:val="en-GB"/>
        </w:rPr>
        <w:t xml:space="preserve"> </w:t>
      </w:r>
      <w:r w:rsidR="00927077" w:rsidRPr="00C02C2C">
        <w:rPr>
          <w:szCs w:val="24"/>
          <w:lang w:val="en-GB"/>
        </w:rPr>
        <w:t xml:space="preserve">was </w:t>
      </w:r>
      <w:r w:rsidR="00696709" w:rsidRPr="00C02C2C">
        <w:rPr>
          <w:szCs w:val="24"/>
          <w:lang w:val="en-GB"/>
        </w:rPr>
        <w:t xml:space="preserve">translated into </w:t>
      </w:r>
      <w:r w:rsidR="00B019AF" w:rsidRPr="00C02C2C">
        <w:rPr>
          <w:szCs w:val="24"/>
          <w:lang w:val="en-GB"/>
        </w:rPr>
        <w:t xml:space="preserve">all INTOSAI official languages and </w:t>
      </w:r>
      <w:r w:rsidR="00927077" w:rsidRPr="00C02C2C">
        <w:rPr>
          <w:szCs w:val="24"/>
          <w:lang w:val="en-GB"/>
        </w:rPr>
        <w:t xml:space="preserve">some </w:t>
      </w:r>
      <w:r w:rsidRPr="00C02C2C">
        <w:rPr>
          <w:szCs w:val="24"/>
          <w:lang w:val="en-GB"/>
        </w:rPr>
        <w:t xml:space="preserve">other </w:t>
      </w:r>
      <w:r w:rsidR="00696709" w:rsidRPr="00C02C2C">
        <w:rPr>
          <w:szCs w:val="24"/>
          <w:lang w:val="en-GB"/>
        </w:rPr>
        <w:t>worki</w:t>
      </w:r>
      <w:r w:rsidR="0025598F" w:rsidRPr="00C02C2C">
        <w:rPr>
          <w:szCs w:val="24"/>
          <w:lang w:val="en-GB"/>
        </w:rPr>
        <w:t>ng versions were made</w:t>
      </w:r>
      <w:r w:rsidR="00B019AF" w:rsidRPr="00C02C2C">
        <w:rPr>
          <w:szCs w:val="24"/>
          <w:lang w:val="en-GB"/>
        </w:rPr>
        <w:t xml:space="preserve"> (</w:t>
      </w:r>
      <w:r w:rsidRPr="00C02C2C">
        <w:rPr>
          <w:szCs w:val="24"/>
          <w:lang w:val="en-GB"/>
        </w:rPr>
        <w:t xml:space="preserve">in </w:t>
      </w:r>
      <w:r w:rsidR="00696709" w:rsidRPr="00C02C2C">
        <w:rPr>
          <w:szCs w:val="24"/>
          <w:lang w:val="en-GB"/>
        </w:rPr>
        <w:t xml:space="preserve">Bengali, Hungarian, </w:t>
      </w:r>
      <w:r w:rsidR="0032615B" w:rsidRPr="00C02C2C">
        <w:rPr>
          <w:szCs w:val="24"/>
          <w:lang w:val="en-GB"/>
        </w:rPr>
        <w:t xml:space="preserve">Mandarin, </w:t>
      </w:r>
      <w:r w:rsidR="00696709" w:rsidRPr="00C02C2C">
        <w:rPr>
          <w:szCs w:val="24"/>
          <w:lang w:val="en-GB"/>
        </w:rPr>
        <w:t>Portuguese, and Slovak</w:t>
      </w:r>
      <w:r w:rsidR="00B019AF" w:rsidRPr="00C02C2C">
        <w:rPr>
          <w:szCs w:val="24"/>
          <w:lang w:val="en-GB"/>
        </w:rPr>
        <w:t>)</w:t>
      </w:r>
      <w:r w:rsidR="00696709" w:rsidRPr="00C02C2C">
        <w:rPr>
          <w:szCs w:val="24"/>
          <w:lang w:val="en-GB"/>
        </w:rPr>
        <w:t xml:space="preserve">. </w:t>
      </w: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rFonts w:cs="Times New Roman"/>
          <w:i/>
          <w:iCs/>
          <w:szCs w:val="24"/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rFonts w:cs="Times New Roman"/>
          <w:i/>
          <w:iCs/>
          <w:szCs w:val="24"/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rFonts w:cs="Times New Roman"/>
          <w:i/>
          <w:iCs/>
          <w:szCs w:val="24"/>
          <w:lang w:val="en-GB"/>
        </w:rPr>
      </w:pPr>
    </w:p>
    <w:p w:rsidR="00C42BDA" w:rsidRPr="00C02C2C" w:rsidRDefault="00EF66F5" w:rsidP="00696709">
      <w:pPr>
        <w:tabs>
          <w:tab w:val="left" w:pos="0"/>
        </w:tabs>
        <w:spacing w:after="120" w:line="300" w:lineRule="exact"/>
        <w:jc w:val="both"/>
        <w:rPr>
          <w:szCs w:val="24"/>
          <w:lang w:val="en-GB"/>
        </w:rPr>
      </w:pPr>
      <w:r w:rsidRPr="00C02C2C">
        <w:rPr>
          <w:rFonts w:cs="Times New Roman"/>
          <w:i/>
          <w:iCs/>
          <w:szCs w:val="24"/>
          <w:lang w:val="en-GB"/>
        </w:rPr>
        <w:t>T</w:t>
      </w:r>
      <w:r w:rsidR="004C7884" w:rsidRPr="00C02C2C">
        <w:rPr>
          <w:szCs w:val="24"/>
          <w:lang w:val="en-GB"/>
        </w:rPr>
        <w:t xml:space="preserve">he </w:t>
      </w:r>
      <w:r w:rsidR="004C7884" w:rsidRPr="00C02C2C">
        <w:rPr>
          <w:i/>
          <w:szCs w:val="24"/>
          <w:lang w:val="en-GB"/>
        </w:rPr>
        <w:t xml:space="preserve">Sub-Committee </w:t>
      </w:r>
      <w:r w:rsidR="004C7884" w:rsidRPr="00C02C2C">
        <w:rPr>
          <w:szCs w:val="24"/>
          <w:lang w:val="en-GB"/>
        </w:rPr>
        <w:t>has decided to present a revised ISSAI 5600 to the XXII INCOSAI in 2016</w:t>
      </w:r>
      <w:r w:rsidR="00CC308B" w:rsidRPr="00C02C2C">
        <w:rPr>
          <w:szCs w:val="24"/>
          <w:lang w:val="en-GB"/>
        </w:rPr>
        <w:t xml:space="preserve"> that would reflect the issue of peer review development and experience gathered in the INTOSAI community</w:t>
      </w:r>
      <w:r w:rsidRPr="00C02C2C">
        <w:rPr>
          <w:szCs w:val="24"/>
          <w:lang w:val="en-GB"/>
        </w:rPr>
        <w:t xml:space="preserve"> since endorsement</w:t>
      </w:r>
      <w:r w:rsidR="0035305F" w:rsidRPr="00C02C2C">
        <w:rPr>
          <w:szCs w:val="24"/>
          <w:lang w:val="en-GB"/>
        </w:rPr>
        <w:t>.</w:t>
      </w:r>
      <w:r w:rsidR="004C7884" w:rsidRPr="00C02C2C">
        <w:rPr>
          <w:szCs w:val="24"/>
          <w:lang w:val="en-GB"/>
        </w:rPr>
        <w:t xml:space="preserve"> </w:t>
      </w:r>
    </w:p>
    <w:p w:rsidR="00C967C9" w:rsidRPr="00C02C2C" w:rsidRDefault="00C967C9" w:rsidP="00947F6D">
      <w:pPr>
        <w:tabs>
          <w:tab w:val="left" w:pos="0"/>
        </w:tabs>
        <w:spacing w:after="120" w:line="300" w:lineRule="exact"/>
        <w:jc w:val="both"/>
        <w:rPr>
          <w:szCs w:val="24"/>
          <w:lang w:val="en-GB"/>
        </w:rPr>
      </w:pPr>
    </w:p>
    <w:p w:rsidR="00DB36BF" w:rsidRPr="00C02C2C" w:rsidRDefault="002A2111" w:rsidP="00947F6D">
      <w:pPr>
        <w:tabs>
          <w:tab w:val="left" w:pos="0"/>
        </w:tabs>
        <w:spacing w:after="120" w:line="300" w:lineRule="exact"/>
        <w:jc w:val="both"/>
        <w:rPr>
          <w:lang w:val="en-GB"/>
        </w:rPr>
      </w:pPr>
      <w:r w:rsidRPr="00C02C2C">
        <w:rPr>
          <w:lang w:val="en-GB"/>
        </w:rPr>
        <w:t>The Checklist was</w:t>
      </w:r>
      <w:r w:rsidR="00F5144C" w:rsidRPr="00C02C2C">
        <w:rPr>
          <w:lang w:val="en-GB"/>
        </w:rPr>
        <w:t xml:space="preserve"> renamed as Peer Review </w:t>
      </w:r>
      <w:r w:rsidR="00CC308B" w:rsidRPr="00C02C2C">
        <w:rPr>
          <w:lang w:val="en-GB"/>
        </w:rPr>
        <w:t xml:space="preserve">Areas and </w:t>
      </w:r>
      <w:r w:rsidR="00F5144C" w:rsidRPr="00C02C2C">
        <w:rPr>
          <w:lang w:val="en-GB"/>
        </w:rPr>
        <w:t>Questions</w:t>
      </w:r>
      <w:r w:rsidR="00CC308B" w:rsidRPr="00C02C2C">
        <w:rPr>
          <w:lang w:val="en-GB"/>
        </w:rPr>
        <w:t xml:space="preserve"> (PRAQ)</w:t>
      </w:r>
      <w:r w:rsidRPr="00C02C2C">
        <w:rPr>
          <w:lang w:val="en-GB"/>
        </w:rPr>
        <w:t xml:space="preserve"> that offer inspiration </w:t>
      </w:r>
      <w:r w:rsidR="007A0A21" w:rsidRPr="00C02C2C">
        <w:rPr>
          <w:lang w:val="en-GB"/>
        </w:rPr>
        <w:t>to the peer review</w:t>
      </w:r>
      <w:r w:rsidRPr="00C02C2C">
        <w:rPr>
          <w:lang w:val="en-GB"/>
        </w:rPr>
        <w:t xml:space="preserve"> parties.</w:t>
      </w:r>
      <w:r w:rsidR="007A0A21" w:rsidRPr="00C02C2C">
        <w:rPr>
          <w:lang w:val="en-GB"/>
        </w:rPr>
        <w:t xml:space="preserve"> </w:t>
      </w:r>
      <w:r w:rsidR="001B4016" w:rsidRPr="00C02C2C">
        <w:rPr>
          <w:lang w:val="en-GB"/>
        </w:rPr>
        <w:t xml:space="preserve">PRAQ </w:t>
      </w:r>
      <w:r w:rsidR="00B2771F" w:rsidRPr="00C02C2C">
        <w:rPr>
          <w:lang w:val="en-GB"/>
        </w:rPr>
        <w:t xml:space="preserve">is </w:t>
      </w:r>
      <w:r w:rsidR="00CC308B" w:rsidRPr="00C02C2C">
        <w:rPr>
          <w:lang w:val="en-GB"/>
        </w:rPr>
        <w:t xml:space="preserve">an annex to the ISSAI 5600. </w:t>
      </w:r>
    </w:p>
    <w:p w:rsidR="00857E93" w:rsidRPr="00C02C2C" w:rsidRDefault="00857E93" w:rsidP="00947F6D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88150E" w:rsidP="00947F6D">
      <w:pPr>
        <w:tabs>
          <w:tab w:val="left" w:pos="0"/>
        </w:tabs>
        <w:spacing w:after="120" w:line="300" w:lineRule="exact"/>
        <w:jc w:val="both"/>
        <w:rPr>
          <w:lang w:val="en-GB"/>
        </w:rPr>
      </w:pPr>
      <w:r w:rsidRPr="00C02C2C">
        <w:rPr>
          <w:lang w:val="en-GB"/>
        </w:rPr>
        <w:t>ISSAI 5600 un</w:t>
      </w:r>
      <w:r w:rsidR="00C967C9" w:rsidRPr="00C02C2C">
        <w:rPr>
          <w:lang w:val="en-GB"/>
        </w:rPr>
        <w:t>derwent complete reconstruction</w:t>
      </w:r>
      <w:r w:rsidRPr="00C02C2C">
        <w:rPr>
          <w:lang w:val="en-GB"/>
        </w:rPr>
        <w:t>.</w:t>
      </w:r>
      <w:r w:rsidR="003315B0" w:rsidRPr="00C02C2C">
        <w:rPr>
          <w:lang w:val="en-GB"/>
        </w:rPr>
        <w:t xml:space="preserve"> The draft was reworked several times</w:t>
      </w:r>
      <w:r w:rsidR="00C967C9" w:rsidRPr="00C02C2C">
        <w:rPr>
          <w:lang w:val="en-GB"/>
        </w:rPr>
        <w:t xml:space="preserve"> and it was a subject to extended exposure period for four and half months. The exposure draft at </w:t>
      </w:r>
      <w:hyperlink r:id="rId26" w:history="1">
        <w:r w:rsidR="00C967C9" w:rsidRPr="00C02C2C">
          <w:rPr>
            <w:rStyle w:val="Hypertextovprepojenie"/>
            <w:lang w:val="en-GB"/>
          </w:rPr>
          <w:t>www.issai.org</w:t>
        </w:r>
      </w:hyperlink>
      <w:r w:rsidR="00C967C9" w:rsidRPr="00C02C2C">
        <w:rPr>
          <w:lang w:val="en-GB"/>
        </w:rPr>
        <w:t xml:space="preserve"> registered 30 SAIs/institutions providing 138 comments and 98 suggestions were accepted and 40 were noted. T</w:t>
      </w:r>
      <w:r w:rsidR="003315B0" w:rsidRPr="00C02C2C">
        <w:rPr>
          <w:lang w:val="en-GB"/>
        </w:rPr>
        <w:t xml:space="preserve">he </w:t>
      </w:r>
      <w:r w:rsidR="00C967C9" w:rsidRPr="00C02C2C">
        <w:rPr>
          <w:lang w:val="en-GB"/>
        </w:rPr>
        <w:t xml:space="preserve">endorsement </w:t>
      </w:r>
      <w:r w:rsidR="003315B0" w:rsidRPr="00C02C2C">
        <w:rPr>
          <w:lang w:val="en-GB"/>
        </w:rPr>
        <w:t>draft is deemed</w:t>
      </w:r>
      <w:r w:rsidR="00DB36BF" w:rsidRPr="00C02C2C">
        <w:rPr>
          <w:lang w:val="en-GB"/>
        </w:rPr>
        <w:t xml:space="preserve"> by the </w:t>
      </w:r>
      <w:r w:rsidR="00DB36BF" w:rsidRPr="00C02C2C">
        <w:rPr>
          <w:i/>
          <w:lang w:val="en-GB"/>
        </w:rPr>
        <w:t xml:space="preserve">Sub-Committee </w:t>
      </w:r>
      <w:r w:rsidR="003315B0" w:rsidRPr="00C02C2C">
        <w:rPr>
          <w:lang w:val="en-GB"/>
        </w:rPr>
        <w:t>practical, reader friendly with clear and easy follow structure</w:t>
      </w:r>
      <w:r w:rsidR="00C967C9" w:rsidRPr="00C02C2C">
        <w:rPr>
          <w:lang w:val="en-GB"/>
        </w:rPr>
        <w:t xml:space="preserve"> (below):</w:t>
      </w:r>
      <w:r w:rsidR="005266CF" w:rsidRPr="00C02C2C">
        <w:rPr>
          <w:lang w:val="en-GB"/>
        </w:rPr>
        <w:t xml:space="preserve"> </w:t>
      </w:r>
      <w:r w:rsidR="003315B0" w:rsidRPr="00C02C2C">
        <w:rPr>
          <w:lang w:val="en-GB"/>
        </w:rPr>
        <w:t xml:space="preserve"> </w:t>
      </w:r>
    </w:p>
    <w:p w:rsidR="005C2CA5" w:rsidRPr="00C02C2C" w:rsidRDefault="005C2CA5" w:rsidP="00947F6D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tbl>
      <w:tblPr>
        <w:tblStyle w:val="Mriekatabuky2"/>
        <w:tblpPr w:leftFromText="141" w:rightFromText="141" w:vertAnchor="page" w:horzAnchor="margin" w:tblpXSpec="center" w:tblpY="6527"/>
        <w:tblW w:w="464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560"/>
      </w:tblGrid>
      <w:tr w:rsidR="005C2CA5" w:rsidRPr="00C02C2C" w:rsidTr="005C2CA5">
        <w:trPr>
          <w:trHeight w:val="356"/>
        </w:trPr>
        <w:tc>
          <w:tcPr>
            <w:tcW w:w="817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142"/>
              </w:tabs>
              <w:spacing w:after="120" w:line="300" w:lineRule="exact"/>
              <w:ind w:left="-142" w:right="-108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chapter</w:t>
            </w:r>
          </w:p>
        </w:tc>
        <w:tc>
          <w:tcPr>
            <w:tcW w:w="1418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present ISSAI 5600</w:t>
            </w:r>
          </w:p>
        </w:tc>
        <w:tc>
          <w:tcPr>
            <w:tcW w:w="850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-108"/>
              </w:tabs>
              <w:spacing w:after="120" w:line="300" w:lineRule="exact"/>
              <w:ind w:right="-82" w:hanging="108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chapter</w:t>
            </w:r>
          </w:p>
        </w:tc>
        <w:tc>
          <w:tcPr>
            <w:tcW w:w="1560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revised ISSAI 5600</w:t>
            </w:r>
          </w:p>
        </w:tc>
      </w:tr>
      <w:tr w:rsidR="005C2CA5" w:rsidRPr="00C02C2C" w:rsidTr="005C2CA5">
        <w:trPr>
          <w:trHeight w:val="21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preface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preface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ind w:right="-108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X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Introduction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Introduction</w:t>
            </w:r>
          </w:p>
        </w:tc>
      </w:tr>
      <w:tr w:rsidR="005C2CA5" w:rsidRPr="00C02C2C" w:rsidTr="005C2CA5">
        <w:trPr>
          <w:trHeight w:val="357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Definition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Definition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Initial consideration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Strategic consideration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Peer review agreement (MoU)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Partners and resources</w:t>
            </w:r>
          </w:p>
        </w:tc>
      </w:tr>
      <w:tr w:rsidR="005C2CA5" w:rsidRPr="00C02C2C" w:rsidTr="005C2CA5">
        <w:trPr>
          <w:trHeight w:val="424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Preparation and conduct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Memorandum</w:t>
            </w:r>
          </w:p>
          <w:p w:rsidR="005C2CA5" w:rsidRPr="00C02C2C" w:rsidRDefault="005C2CA5" w:rsidP="005C2CA5">
            <w:pPr>
              <w:jc w:val="center"/>
              <w:rPr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of Understanding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Follow-up and Evaluation</w:t>
            </w: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Field work</w:t>
            </w:r>
          </w:p>
        </w:tc>
      </w:tr>
      <w:tr w:rsidR="005C2CA5" w:rsidRPr="00C02C2C" w:rsidTr="005C2CA5">
        <w:trPr>
          <w:trHeight w:val="4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Reporting</w:t>
            </w:r>
          </w:p>
        </w:tc>
      </w:tr>
      <w:tr w:rsidR="005C2CA5" w:rsidRPr="00C02C2C" w:rsidTr="005C2CA5">
        <w:trPr>
          <w:trHeight w:val="636"/>
        </w:trPr>
        <w:tc>
          <w:tcPr>
            <w:tcW w:w="817" w:type="dxa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560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Implementation</w:t>
            </w:r>
          </w:p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of results</w:t>
            </w:r>
          </w:p>
          <w:p w:rsidR="005C2CA5" w:rsidRPr="00C02C2C" w:rsidRDefault="005C2CA5" w:rsidP="005C2CA5">
            <w:pPr>
              <w:jc w:val="center"/>
              <w:rPr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and follow-up</w:t>
            </w:r>
          </w:p>
        </w:tc>
      </w:tr>
      <w:tr w:rsidR="005C2CA5" w:rsidRPr="00C02C2C" w:rsidTr="005C2CA5">
        <w:trPr>
          <w:trHeight w:val="284"/>
        </w:trPr>
        <w:tc>
          <w:tcPr>
            <w:tcW w:w="817" w:type="dxa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glossary</w:t>
            </w:r>
          </w:p>
          <w:p w:rsidR="005C2CA5" w:rsidRPr="00C02C2C" w:rsidRDefault="005C2CA5" w:rsidP="005C2CA5">
            <w:pPr>
              <w:jc w:val="center"/>
              <w:rPr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of terms</w:t>
            </w:r>
          </w:p>
        </w:tc>
        <w:tc>
          <w:tcPr>
            <w:tcW w:w="850" w:type="dxa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02C2C">
              <w:rPr>
                <w:rFonts w:ascii="Arial Narrow" w:hAnsi="Arial Narrow"/>
                <w:b/>
                <w:sz w:val="18"/>
                <w:szCs w:val="18"/>
                <w:lang w:val="en-GB"/>
              </w:rPr>
              <w:t>X</w:t>
            </w:r>
          </w:p>
        </w:tc>
      </w:tr>
      <w:tr w:rsidR="005C2CA5" w:rsidRPr="00C02C2C" w:rsidTr="005C2CA5">
        <w:trPr>
          <w:trHeight w:val="486"/>
        </w:trPr>
        <w:tc>
          <w:tcPr>
            <w:tcW w:w="817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-8"/>
              </w:tabs>
              <w:spacing w:after="120" w:line="3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pages</w:t>
            </w:r>
          </w:p>
        </w:tc>
        <w:tc>
          <w:tcPr>
            <w:tcW w:w="1418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46</w:t>
            </w:r>
          </w:p>
        </w:tc>
        <w:tc>
          <w:tcPr>
            <w:tcW w:w="850" w:type="dxa"/>
            <w:shd w:val="clear" w:color="auto" w:fill="963296"/>
          </w:tcPr>
          <w:p w:rsidR="005C2CA5" w:rsidRPr="00C02C2C" w:rsidRDefault="005C2CA5" w:rsidP="005C2CA5">
            <w:pPr>
              <w:tabs>
                <w:tab w:val="left" w:pos="0"/>
              </w:tabs>
              <w:spacing w:after="120" w:line="3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963296"/>
            <w:vAlign w:val="center"/>
          </w:tcPr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Guide - 29</w:t>
            </w:r>
          </w:p>
          <w:p w:rsidR="005C2CA5" w:rsidRPr="00C02C2C" w:rsidRDefault="005C2CA5" w:rsidP="005C2C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02C2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PRAQ - 27</w:t>
            </w:r>
          </w:p>
        </w:tc>
      </w:tr>
    </w:tbl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967C9" w:rsidRPr="00C02C2C" w:rsidRDefault="00C967C9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857E93" w:rsidRPr="00C02C2C" w:rsidRDefault="00857E93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5C2CA5" w:rsidRPr="00C02C2C" w:rsidRDefault="005C2CA5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FA387E" w:rsidRPr="00C02C2C" w:rsidRDefault="00FA387E" w:rsidP="00696709">
      <w:pPr>
        <w:tabs>
          <w:tab w:val="left" w:pos="0"/>
        </w:tabs>
        <w:spacing w:after="120" w:line="300" w:lineRule="exact"/>
        <w:jc w:val="both"/>
        <w:rPr>
          <w:lang w:val="en-GB"/>
        </w:rPr>
      </w:pPr>
    </w:p>
    <w:p w:rsidR="00CE06F0" w:rsidRPr="00C02C2C" w:rsidRDefault="00696709" w:rsidP="00FA387E">
      <w:pPr>
        <w:shd w:val="clear" w:color="auto" w:fill="963296"/>
        <w:tabs>
          <w:tab w:val="left" w:pos="0"/>
        </w:tabs>
        <w:spacing w:after="120" w:line="300" w:lineRule="exact"/>
        <w:jc w:val="both"/>
        <w:rPr>
          <w:b/>
          <w:color w:val="FFFFFF" w:themeColor="background1"/>
          <w:lang w:val="en-GB"/>
        </w:rPr>
      </w:pPr>
      <w:r w:rsidRPr="00C02C2C">
        <w:rPr>
          <w:b/>
          <w:color w:val="FFFFFF" w:themeColor="background1"/>
          <w:lang w:val="en-GB"/>
        </w:rPr>
        <w:t xml:space="preserve">V. The </w:t>
      </w:r>
      <w:r w:rsidR="001F2941" w:rsidRPr="00C02C2C">
        <w:rPr>
          <w:rFonts w:cs="Times New Roman"/>
          <w:b/>
          <w:color w:val="FFFFFF" w:themeColor="background1"/>
          <w:lang w:val="en-GB"/>
        </w:rPr>
        <w:t xml:space="preserve">conclusions, recommendations and </w:t>
      </w:r>
      <w:r w:rsidRPr="00C02C2C">
        <w:rPr>
          <w:b/>
          <w:color w:val="FFFFFF" w:themeColor="background1"/>
          <w:lang w:val="en-GB"/>
        </w:rPr>
        <w:t xml:space="preserve">future tasks                                                                                                                                </w:t>
      </w:r>
    </w:p>
    <w:p w:rsidR="00696709" w:rsidRPr="00C02C2C" w:rsidRDefault="00D457F3" w:rsidP="00696709">
      <w:pPr>
        <w:tabs>
          <w:tab w:val="left" w:pos="0"/>
        </w:tabs>
        <w:spacing w:after="120" w:line="300" w:lineRule="exact"/>
        <w:jc w:val="both"/>
        <w:rPr>
          <w:b/>
          <w:lang w:val="en-GB"/>
        </w:rPr>
      </w:pPr>
      <w:r w:rsidRPr="00C02C2C">
        <w:rPr>
          <w:lang w:val="en-GB"/>
        </w:rPr>
        <w:t>T</w:t>
      </w:r>
      <w:r w:rsidR="00A5363E" w:rsidRPr="00C02C2C">
        <w:rPr>
          <w:lang w:val="en-GB"/>
        </w:rPr>
        <w:t>he Sub</w:t>
      </w:r>
      <w:r w:rsidR="00AE1D20" w:rsidRPr="00C02C2C">
        <w:rPr>
          <w:lang w:val="en-GB"/>
        </w:rPr>
        <w:t xml:space="preserve"> </w:t>
      </w:r>
      <w:r w:rsidR="00A5363E" w:rsidRPr="00C02C2C">
        <w:rPr>
          <w:lang w:val="en-GB"/>
        </w:rPr>
        <w:t>-</w:t>
      </w:r>
      <w:r w:rsidR="000F647B" w:rsidRPr="00C02C2C">
        <w:rPr>
          <w:lang w:val="en-GB"/>
        </w:rPr>
        <w:t xml:space="preserve"> </w:t>
      </w:r>
      <w:r w:rsidR="00A5363E" w:rsidRPr="00C02C2C">
        <w:rPr>
          <w:lang w:val="en-GB"/>
        </w:rPr>
        <w:t xml:space="preserve">Committee:  </w:t>
      </w:r>
      <w:r w:rsidR="00A5363E" w:rsidRPr="00C02C2C">
        <w:rPr>
          <w:b/>
          <w:lang w:val="en-GB"/>
        </w:rPr>
        <w:t xml:space="preserve">                                                                                                                               </w:t>
      </w:r>
    </w:p>
    <w:p w:rsidR="00A5363E" w:rsidRPr="00C02C2C" w:rsidRDefault="00CA0342" w:rsidP="008970E6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lang w:val="en-GB"/>
        </w:rPr>
      </w:pPr>
      <w:r w:rsidRPr="00C02C2C">
        <w:rPr>
          <w:rFonts w:cs="Times New Roman"/>
          <w:lang w:val="en-GB"/>
        </w:rPr>
        <w:t xml:space="preserve">Have finished </w:t>
      </w:r>
      <w:r w:rsidR="00B57492">
        <w:rPr>
          <w:rFonts w:cs="Times New Roman"/>
          <w:lang w:val="en-GB"/>
        </w:rPr>
        <w:t xml:space="preserve">3-year work on </w:t>
      </w:r>
      <w:r w:rsidR="00A5363E" w:rsidRPr="00C02C2C">
        <w:rPr>
          <w:rFonts w:cs="Times New Roman"/>
          <w:lang w:val="en-GB"/>
        </w:rPr>
        <w:t>ISSAI 5600</w:t>
      </w:r>
      <w:r w:rsidRPr="00C02C2C">
        <w:rPr>
          <w:rFonts w:cs="Times New Roman"/>
          <w:lang w:val="en-GB"/>
        </w:rPr>
        <w:t xml:space="preserve"> revision</w:t>
      </w:r>
      <w:r w:rsidR="00A5363E" w:rsidRPr="00C02C2C">
        <w:rPr>
          <w:rFonts w:cs="Times New Roman"/>
          <w:lang w:val="en-GB"/>
        </w:rPr>
        <w:t xml:space="preserve"> according to the Due Process for INTOSAI professional standards</w:t>
      </w:r>
      <w:r w:rsidRPr="00C02C2C">
        <w:rPr>
          <w:rFonts w:cs="Times New Roman"/>
          <w:lang w:val="en-GB"/>
        </w:rPr>
        <w:t>;</w:t>
      </w:r>
    </w:p>
    <w:p w:rsidR="00857E93" w:rsidRPr="00C02C2C" w:rsidRDefault="00FA387E" w:rsidP="00857E93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lang w:val="en-GB"/>
        </w:rPr>
      </w:pPr>
      <w:r w:rsidRPr="00C02C2C">
        <w:rPr>
          <w:lang w:val="en-GB"/>
        </w:rPr>
        <w:t>P</w:t>
      </w:r>
      <w:r w:rsidR="00857E93" w:rsidRPr="00C02C2C">
        <w:rPr>
          <w:lang w:val="en-GB"/>
        </w:rPr>
        <w:t>roposes to the CBC Steering Committee the ISSAI 5600 and its Annex PRAQ for endor</w:t>
      </w:r>
      <w:r w:rsidRPr="00C02C2C">
        <w:rPr>
          <w:lang w:val="en-GB"/>
        </w:rPr>
        <w:t>sement at the XXII INCOSAI 2016;</w:t>
      </w:r>
      <w:r w:rsidR="00857E93" w:rsidRPr="00C02C2C">
        <w:rPr>
          <w:lang w:val="en-GB"/>
        </w:rPr>
        <w:t xml:space="preserve"> </w:t>
      </w:r>
    </w:p>
    <w:p w:rsidR="00D457F3" w:rsidRPr="00C02C2C" w:rsidRDefault="00C2136E" w:rsidP="00D457F3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lang w:val="en-GB"/>
        </w:rPr>
      </w:pPr>
      <w:r w:rsidRPr="00F7483B">
        <w:rPr>
          <w:b/>
          <w:lang w:val="en-GB"/>
        </w:rPr>
        <w:t>In the period 2017 – 2022</w:t>
      </w:r>
      <w:r w:rsidR="00F7483B">
        <w:rPr>
          <w:lang w:val="en-GB"/>
        </w:rPr>
        <w:t>,</w:t>
      </w:r>
      <w:r w:rsidR="00671A74">
        <w:rPr>
          <w:lang w:val="en-GB"/>
        </w:rPr>
        <w:t xml:space="preserve"> w</w:t>
      </w:r>
      <w:r w:rsidR="00D457F3" w:rsidRPr="00C02C2C">
        <w:rPr>
          <w:lang w:val="en-GB"/>
        </w:rPr>
        <w:t xml:space="preserve">ill continue to develop and update the existing peer review documentation through global peer review surveys; </w:t>
      </w:r>
    </w:p>
    <w:p w:rsidR="00D457F3" w:rsidRPr="00C02C2C" w:rsidRDefault="00671A74" w:rsidP="00D457F3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lang w:val="en-GB"/>
        </w:rPr>
      </w:pPr>
      <w:r w:rsidRPr="00F7483B">
        <w:rPr>
          <w:b/>
          <w:lang w:val="en-GB"/>
        </w:rPr>
        <w:t>In the perio</w:t>
      </w:r>
      <w:r w:rsidR="00C2136E" w:rsidRPr="00F7483B">
        <w:rPr>
          <w:b/>
          <w:lang w:val="en-GB"/>
        </w:rPr>
        <w:t>d 2017 – 2022</w:t>
      </w:r>
      <w:r w:rsidR="00F7483B">
        <w:rPr>
          <w:lang w:val="en-GB"/>
        </w:rPr>
        <w:t>,</w:t>
      </w:r>
      <w:r>
        <w:rPr>
          <w:lang w:val="en-GB"/>
        </w:rPr>
        <w:t xml:space="preserve"> w</w:t>
      </w:r>
      <w:r w:rsidR="00D457F3" w:rsidRPr="00C02C2C">
        <w:rPr>
          <w:lang w:val="en-GB"/>
        </w:rPr>
        <w:t>ill further develop the PRAQ document to widen the scope of possible peer review areas;</w:t>
      </w:r>
    </w:p>
    <w:p w:rsidR="00414414" w:rsidRPr="00B57492" w:rsidRDefault="00F7483B" w:rsidP="00D457F3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lang w:val="en-GB"/>
        </w:rPr>
      </w:pPr>
      <w:r w:rsidRPr="00F7483B">
        <w:rPr>
          <w:b/>
          <w:lang w:val="en-GB"/>
        </w:rPr>
        <w:t xml:space="preserve">In the period 2017 – </w:t>
      </w:r>
      <w:r w:rsidRPr="006B586F">
        <w:rPr>
          <w:b/>
          <w:lang w:val="en-GB"/>
        </w:rPr>
        <w:t>2022,</w:t>
      </w:r>
      <w:r>
        <w:rPr>
          <w:lang w:val="en-GB"/>
        </w:rPr>
        <w:t xml:space="preserve">  will</w:t>
      </w:r>
      <w:r w:rsidR="00D457F3" w:rsidRPr="00B57492">
        <w:rPr>
          <w:lang w:val="en-GB"/>
        </w:rPr>
        <w:t xml:space="preserve"> continue to promote peer review as a tool for quality assurance and capacity building within the INTOSAI community and </w:t>
      </w:r>
      <w:r w:rsidR="00B57492" w:rsidRPr="00B57492">
        <w:rPr>
          <w:lang w:val="en-GB"/>
        </w:rPr>
        <w:t xml:space="preserve">external </w:t>
      </w:r>
      <w:r w:rsidR="00D457F3" w:rsidRPr="00B57492">
        <w:rPr>
          <w:lang w:val="en-GB"/>
        </w:rPr>
        <w:t>professional environment</w:t>
      </w:r>
      <w:r w:rsidR="00B57492" w:rsidRPr="00B57492">
        <w:rPr>
          <w:lang w:val="en-ZA"/>
        </w:rPr>
        <w:t xml:space="preserve"> through articles in electronic media in cooperation with INTOSAI Regional Organizations and other INTOSAI bodies; </w:t>
      </w:r>
    </w:p>
    <w:p w:rsidR="00414414" w:rsidRPr="00C02C2C" w:rsidRDefault="00D457F3" w:rsidP="00414414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color w:val="000000" w:themeColor="text1"/>
          <w:szCs w:val="24"/>
          <w:lang w:val="en-GB"/>
        </w:rPr>
      </w:pPr>
      <w:r w:rsidRPr="00F7483B">
        <w:rPr>
          <w:rFonts w:cs="Times New Roman"/>
          <w:b/>
          <w:color w:val="000000" w:themeColor="text1"/>
          <w:szCs w:val="24"/>
          <w:lang w:val="en-GB"/>
        </w:rPr>
        <w:t>In 2017</w:t>
      </w:r>
      <w:r w:rsidRPr="00C02C2C">
        <w:rPr>
          <w:rFonts w:cs="Times New Roman"/>
          <w:color w:val="000000" w:themeColor="text1"/>
          <w:szCs w:val="24"/>
          <w:lang w:val="en-GB"/>
        </w:rPr>
        <w:t xml:space="preserve"> </w:t>
      </w:r>
      <w:r w:rsidR="000B3D14">
        <w:rPr>
          <w:rFonts w:cs="Times New Roman"/>
          <w:color w:val="000000" w:themeColor="text1"/>
          <w:szCs w:val="24"/>
          <w:lang w:val="en-US"/>
        </w:rPr>
        <w:t>[</w:t>
      </w:r>
      <w:r w:rsidR="00AF6BE5" w:rsidRPr="00C02C2C">
        <w:rPr>
          <w:rFonts w:cs="Times New Roman"/>
          <w:color w:val="000000" w:themeColor="text1"/>
          <w:szCs w:val="24"/>
          <w:lang w:val="en-GB"/>
        </w:rPr>
        <w:t>in the line of the INT</w:t>
      </w:r>
      <w:r w:rsidR="000B3D14">
        <w:rPr>
          <w:rFonts w:cs="Times New Roman"/>
          <w:color w:val="000000" w:themeColor="text1"/>
          <w:szCs w:val="24"/>
          <w:lang w:val="en-GB"/>
        </w:rPr>
        <w:t>OSAI Strategic plan 2017 – 2022,</w:t>
      </w:r>
      <w:r w:rsidR="00AF6BE5">
        <w:rPr>
          <w:rFonts w:cs="Times New Roman"/>
          <w:color w:val="000000" w:themeColor="text1"/>
          <w:szCs w:val="24"/>
          <w:lang w:val="en-GB"/>
        </w:rPr>
        <w:t xml:space="preserve"> Strategic objectives for Goal</w:t>
      </w:r>
      <w:r w:rsidR="00AF6BE5" w:rsidRPr="00C02C2C">
        <w:rPr>
          <w:rFonts w:cs="Times New Roman"/>
          <w:color w:val="000000" w:themeColor="text1"/>
          <w:szCs w:val="24"/>
          <w:lang w:val="en-GB"/>
        </w:rPr>
        <w:t xml:space="preserve"> 2 </w:t>
      </w:r>
      <w:r w:rsidR="00AF6BE5" w:rsidRPr="00552280">
        <w:rPr>
          <w:rFonts w:cs="Times New Roman"/>
          <w:color w:val="000000" w:themeColor="text1"/>
          <w:szCs w:val="24"/>
          <w:lang w:val="en-GB"/>
        </w:rPr>
        <w:t>(</w:t>
      </w:r>
      <w:proofErr w:type="spellStart"/>
      <w:r w:rsidR="00AF6BE5">
        <w:rPr>
          <w:rFonts w:cs="Times New Roman"/>
          <w:color w:val="000000" w:themeColor="text1"/>
          <w:szCs w:val="24"/>
        </w:rPr>
        <w:t>Capacity</w:t>
      </w:r>
      <w:proofErr w:type="spellEnd"/>
      <w:r w:rsidR="00AF6BE5">
        <w:rPr>
          <w:rFonts w:cs="Times New Roman"/>
          <w:color w:val="000000" w:themeColor="text1"/>
          <w:szCs w:val="24"/>
        </w:rPr>
        <w:t xml:space="preserve"> Development) and</w:t>
      </w:r>
      <w:r w:rsidR="00AF6BE5" w:rsidRPr="00552280">
        <w:rPr>
          <w:rFonts w:cs="Times New Roman"/>
          <w:color w:val="000000" w:themeColor="text1"/>
          <w:szCs w:val="24"/>
          <w:lang w:val="en-GB"/>
        </w:rPr>
        <w:t xml:space="preserve"> </w:t>
      </w:r>
      <w:r w:rsidR="00AF6BE5">
        <w:rPr>
          <w:rFonts w:cs="Times New Roman"/>
          <w:color w:val="000000" w:themeColor="text1"/>
          <w:szCs w:val="24"/>
          <w:lang w:val="en-GB"/>
        </w:rPr>
        <w:t xml:space="preserve">Goal </w:t>
      </w:r>
      <w:r w:rsidR="00AF6BE5" w:rsidRPr="00552280">
        <w:rPr>
          <w:rFonts w:cs="Times New Roman"/>
          <w:color w:val="000000" w:themeColor="text1"/>
          <w:szCs w:val="24"/>
          <w:lang w:val="en-GB"/>
        </w:rPr>
        <w:t>3 (</w:t>
      </w:r>
      <w:proofErr w:type="spellStart"/>
      <w:r w:rsidR="00AF6BE5" w:rsidRPr="00552280">
        <w:rPr>
          <w:rFonts w:cs="Times New Roman"/>
          <w:color w:val="000000" w:themeColor="text1"/>
          <w:szCs w:val="24"/>
        </w:rPr>
        <w:t>Knowledge</w:t>
      </w:r>
      <w:proofErr w:type="spellEnd"/>
      <w:r w:rsidR="00AF6BE5" w:rsidRPr="0055228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F6BE5" w:rsidRPr="00552280">
        <w:rPr>
          <w:rFonts w:cs="Times New Roman"/>
          <w:color w:val="000000" w:themeColor="text1"/>
          <w:szCs w:val="24"/>
        </w:rPr>
        <w:t>Sharing</w:t>
      </w:r>
      <w:proofErr w:type="spellEnd"/>
      <w:r w:rsidR="00AF6BE5" w:rsidRPr="00552280">
        <w:rPr>
          <w:rFonts w:cs="Times New Roman"/>
          <w:color w:val="000000" w:themeColor="text1"/>
          <w:szCs w:val="24"/>
        </w:rPr>
        <w:t xml:space="preserve"> and </w:t>
      </w:r>
      <w:proofErr w:type="spellStart"/>
      <w:r w:rsidR="00AF6BE5" w:rsidRPr="00552280">
        <w:rPr>
          <w:rFonts w:cs="Times New Roman"/>
          <w:color w:val="000000" w:themeColor="text1"/>
          <w:szCs w:val="24"/>
        </w:rPr>
        <w:t>Knowledge</w:t>
      </w:r>
      <w:proofErr w:type="spellEnd"/>
      <w:r w:rsidR="00AF6BE5" w:rsidRPr="0055228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F6BE5" w:rsidRPr="00552280">
        <w:rPr>
          <w:rFonts w:cs="Times New Roman"/>
          <w:color w:val="000000" w:themeColor="text1"/>
          <w:szCs w:val="24"/>
        </w:rPr>
        <w:t>Services</w:t>
      </w:r>
      <w:proofErr w:type="spellEnd"/>
      <w:r w:rsidR="00AF6BE5" w:rsidRPr="00552280">
        <w:rPr>
          <w:rFonts w:cs="Times New Roman"/>
          <w:color w:val="000000" w:themeColor="text1"/>
          <w:szCs w:val="24"/>
        </w:rPr>
        <w:t>)</w:t>
      </w:r>
      <w:r w:rsidR="00AF6BE5" w:rsidRPr="00552280">
        <w:rPr>
          <w:rFonts w:cs="Times New Roman"/>
          <w:color w:val="000000" w:themeColor="text1"/>
          <w:szCs w:val="24"/>
          <w:lang w:val="en-GB"/>
        </w:rPr>
        <w:t xml:space="preserve">  </w:t>
      </w:r>
      <w:r w:rsidR="00AF6BE5" w:rsidRPr="00C02C2C">
        <w:rPr>
          <w:rFonts w:cs="Times New Roman"/>
          <w:color w:val="000000" w:themeColor="text1"/>
          <w:szCs w:val="24"/>
          <w:lang w:val="en-GB"/>
        </w:rPr>
        <w:t xml:space="preserve">and Crosscutting priority 3 </w:t>
      </w:r>
      <w:r w:rsidR="00AF6BE5">
        <w:rPr>
          <w:rFonts w:cs="Times New Roman"/>
          <w:color w:val="000000" w:themeColor="text1"/>
          <w:szCs w:val="24"/>
          <w:lang w:val="en-GB"/>
        </w:rPr>
        <w:t>(E</w:t>
      </w:r>
      <w:r w:rsidR="00AF6BE5" w:rsidRPr="00C02C2C">
        <w:rPr>
          <w:rFonts w:cs="Times New Roman"/>
          <w:color w:val="000000" w:themeColor="text1"/>
          <w:szCs w:val="24"/>
          <w:lang w:val="en-GB"/>
        </w:rPr>
        <w:t>nsuring effective development and coordination among standards-setting, capacity development, and knowledge sharing to support SAIs and improve their performance and effectiveness</w:t>
      </w:r>
      <w:r w:rsidR="00AF6BE5">
        <w:rPr>
          <w:rFonts w:cs="Times New Roman"/>
          <w:color w:val="000000" w:themeColor="text1"/>
          <w:szCs w:val="24"/>
          <w:lang w:val="en-GB"/>
        </w:rPr>
        <w:t>)</w:t>
      </w:r>
      <w:r w:rsidR="000B3D14">
        <w:rPr>
          <w:rFonts w:cs="Times New Roman"/>
          <w:color w:val="000000" w:themeColor="text1"/>
          <w:szCs w:val="24"/>
          <w:lang w:val="en-GB"/>
        </w:rPr>
        <w:t>]</w:t>
      </w:r>
      <w:r w:rsidR="00AF6BE5">
        <w:rPr>
          <w:rFonts w:cs="Times New Roman"/>
          <w:color w:val="000000" w:themeColor="text1"/>
          <w:szCs w:val="24"/>
          <w:lang w:val="en-GB"/>
        </w:rPr>
        <w:t xml:space="preserve"> </w:t>
      </w:r>
      <w:r w:rsidRPr="00C02C2C">
        <w:rPr>
          <w:rFonts w:cs="Times New Roman"/>
          <w:color w:val="000000" w:themeColor="text1"/>
          <w:szCs w:val="24"/>
          <w:lang w:val="en-GB"/>
        </w:rPr>
        <w:t>will conduct</w:t>
      </w:r>
      <w:r w:rsidR="00E56F70" w:rsidRPr="00C02C2C">
        <w:rPr>
          <w:rFonts w:cs="Times New Roman"/>
          <w:color w:val="000000" w:themeColor="text1"/>
          <w:szCs w:val="24"/>
          <w:lang w:val="en-GB"/>
        </w:rPr>
        <w:t xml:space="preserve"> a </w:t>
      </w:r>
      <w:r w:rsidR="00671A74">
        <w:rPr>
          <w:rFonts w:cs="Times New Roman"/>
          <w:color w:val="000000" w:themeColor="text1"/>
          <w:szCs w:val="24"/>
          <w:lang w:val="en-GB"/>
        </w:rPr>
        <w:t xml:space="preserve">global </w:t>
      </w:r>
      <w:r w:rsidR="003A7380">
        <w:rPr>
          <w:rFonts w:cs="Times New Roman"/>
          <w:color w:val="000000" w:themeColor="text1"/>
          <w:szCs w:val="24"/>
          <w:lang w:val="en-GB"/>
        </w:rPr>
        <w:t>survey among INTOSAI members followed by</w:t>
      </w:r>
      <w:r w:rsidR="00E56F70" w:rsidRPr="00C02C2C">
        <w:rPr>
          <w:rFonts w:cs="Times New Roman"/>
          <w:color w:val="000000" w:themeColor="text1"/>
          <w:szCs w:val="24"/>
          <w:lang w:val="en-GB"/>
        </w:rPr>
        <w:t xml:space="preserve"> </w:t>
      </w:r>
      <w:r w:rsidR="003A7380">
        <w:rPr>
          <w:rFonts w:cs="Times New Roman"/>
          <w:color w:val="000000" w:themeColor="text1"/>
          <w:szCs w:val="24"/>
          <w:lang w:val="en-GB"/>
        </w:rPr>
        <w:t xml:space="preserve">a </w:t>
      </w:r>
      <w:r w:rsidRPr="00C02C2C">
        <w:rPr>
          <w:rFonts w:cs="Times New Roman"/>
          <w:color w:val="000000" w:themeColor="text1"/>
          <w:szCs w:val="24"/>
          <w:lang w:val="en-GB"/>
        </w:rPr>
        <w:t xml:space="preserve">study </w:t>
      </w:r>
      <w:r w:rsidR="00AF6BE5">
        <w:rPr>
          <w:rFonts w:cs="Times New Roman"/>
          <w:color w:val="000000" w:themeColor="text1"/>
          <w:szCs w:val="24"/>
          <w:lang w:val="en-GB"/>
        </w:rPr>
        <w:t xml:space="preserve">on topic </w:t>
      </w:r>
      <w:r w:rsidR="00AF6BE5" w:rsidRPr="00AF6BE5">
        <w:rPr>
          <w:b/>
          <w:lang w:val="en-US"/>
        </w:rPr>
        <w:t>Peer review as method to apply INTOSAI assessment tools</w:t>
      </w:r>
      <w:r w:rsidR="00AF6BE5">
        <w:rPr>
          <w:b/>
          <w:lang w:val="en-US"/>
        </w:rPr>
        <w:t>.</w:t>
      </w:r>
      <w:r w:rsidR="00AF6BE5">
        <w:rPr>
          <w:color w:val="1F497D"/>
          <w:lang w:val="en-US"/>
        </w:rPr>
        <w:t xml:space="preserve"> </w:t>
      </w:r>
      <w:r w:rsidR="00671A74">
        <w:rPr>
          <w:rFonts w:cs="Times New Roman"/>
          <w:color w:val="000000" w:themeColor="text1"/>
          <w:szCs w:val="24"/>
          <w:lang w:val="en-GB"/>
        </w:rPr>
        <w:t xml:space="preserve">Selected INTOSAI bodies and possible external partners will be approached to join the project.  </w:t>
      </w:r>
      <w:r w:rsidR="00414414" w:rsidRPr="00C02C2C">
        <w:rPr>
          <w:rFonts w:cs="Times New Roman"/>
          <w:color w:val="000000" w:themeColor="text1"/>
          <w:szCs w:val="24"/>
          <w:lang w:val="en-GB"/>
        </w:rPr>
        <w:t xml:space="preserve">  </w:t>
      </w:r>
      <w:r w:rsidRPr="00C02C2C">
        <w:rPr>
          <w:rFonts w:cs="Times New Roman"/>
          <w:color w:val="000000" w:themeColor="text1"/>
          <w:szCs w:val="24"/>
          <w:lang w:val="en-GB"/>
        </w:rPr>
        <w:t xml:space="preserve"> </w:t>
      </w:r>
    </w:p>
    <w:p w:rsidR="00CA0342" w:rsidRPr="00C02C2C" w:rsidRDefault="00D457F3" w:rsidP="00414414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color w:val="000000" w:themeColor="text1"/>
          <w:szCs w:val="24"/>
          <w:lang w:val="en-GB"/>
        </w:rPr>
      </w:pPr>
      <w:r w:rsidRPr="00F7483B">
        <w:rPr>
          <w:rFonts w:cs="Times New Roman"/>
          <w:b/>
          <w:lang w:val="en-GB"/>
        </w:rPr>
        <w:t>In 2017</w:t>
      </w:r>
      <w:r w:rsidRPr="00C02C2C">
        <w:rPr>
          <w:rFonts w:cs="Times New Roman"/>
          <w:lang w:val="en-GB"/>
        </w:rPr>
        <w:t>, w</w:t>
      </w:r>
      <w:r w:rsidR="00CA0342" w:rsidRPr="00C02C2C">
        <w:rPr>
          <w:rFonts w:cs="Times New Roman"/>
          <w:lang w:val="en-GB"/>
        </w:rPr>
        <w:t xml:space="preserve">ill </w:t>
      </w:r>
      <w:r w:rsidR="00B57492">
        <w:rPr>
          <w:rFonts w:cs="Times New Roman"/>
          <w:lang w:val="en-GB"/>
        </w:rPr>
        <w:t xml:space="preserve">support and </w:t>
      </w:r>
      <w:r w:rsidR="00CA0342" w:rsidRPr="00C02C2C">
        <w:rPr>
          <w:rFonts w:cs="Times New Roman"/>
          <w:lang w:val="en-GB"/>
        </w:rPr>
        <w:t>p</w:t>
      </w:r>
      <w:r w:rsidRPr="00C02C2C">
        <w:rPr>
          <w:rFonts w:cs="Times New Roman"/>
          <w:lang w:val="en-GB"/>
        </w:rPr>
        <w:t>erform</w:t>
      </w:r>
      <w:r w:rsidR="00857E93" w:rsidRPr="00C02C2C">
        <w:rPr>
          <w:rFonts w:cs="Times New Roman"/>
          <w:lang w:val="en-GB"/>
        </w:rPr>
        <w:t xml:space="preserve"> </w:t>
      </w:r>
      <w:r w:rsidR="00CA0342" w:rsidRPr="00C02C2C">
        <w:rPr>
          <w:rFonts w:cs="Times New Roman"/>
          <w:lang w:val="en-GB"/>
        </w:rPr>
        <w:t xml:space="preserve">a review of </w:t>
      </w:r>
      <w:r w:rsidR="00CA0342" w:rsidRPr="00C02C2C">
        <w:rPr>
          <w:lang w:val="en-GB"/>
        </w:rPr>
        <w:t xml:space="preserve">the </w:t>
      </w:r>
      <w:r w:rsidR="00CA0342" w:rsidRPr="00C02C2C">
        <w:rPr>
          <w:i/>
          <w:lang w:val="en-GB"/>
        </w:rPr>
        <w:t>Global peer review on independence</w:t>
      </w:r>
      <w:r w:rsidR="00CA0342" w:rsidRPr="00C02C2C">
        <w:rPr>
          <w:lang w:val="en-GB"/>
        </w:rPr>
        <w:t xml:space="preserve"> project conducted</w:t>
      </w:r>
      <w:r w:rsidR="00CA0342" w:rsidRPr="00C02C2C">
        <w:rPr>
          <w:rFonts w:cs="Times New Roman"/>
          <w:lang w:val="en-GB"/>
        </w:rPr>
        <w:t xml:space="preserve"> by INTOSA</w:t>
      </w:r>
      <w:r w:rsidR="003A7380">
        <w:rPr>
          <w:rFonts w:cs="Times New Roman"/>
          <w:lang w:val="en-GB"/>
        </w:rPr>
        <w:t xml:space="preserve">I General Secretariat </w:t>
      </w:r>
      <w:r w:rsidR="003A7380">
        <w:rPr>
          <w:rFonts w:cs="Times New Roman"/>
          <w:lang w:val="en-US"/>
        </w:rPr>
        <w:t>[</w:t>
      </w:r>
      <w:r w:rsidR="00F5658D">
        <w:rPr>
          <w:rFonts w:cs="Times New Roman"/>
          <w:lang w:val="en-GB"/>
        </w:rPr>
        <w:t xml:space="preserve">see </w:t>
      </w:r>
      <w:r w:rsidR="003A7380">
        <w:rPr>
          <w:rFonts w:cs="Times New Roman"/>
          <w:lang w:val="en-GB"/>
        </w:rPr>
        <w:t xml:space="preserve">point </w:t>
      </w:r>
      <w:r w:rsidR="00F5658D">
        <w:rPr>
          <w:rFonts w:cs="Times New Roman"/>
          <w:lang w:val="en-GB"/>
        </w:rPr>
        <w:t>2) Task b, second bullet point</w:t>
      </w:r>
      <w:r w:rsidR="003A7380">
        <w:rPr>
          <w:rFonts w:cs="Times New Roman"/>
          <w:lang w:val="en-GB"/>
        </w:rPr>
        <w:t>]</w:t>
      </w:r>
      <w:r w:rsidR="00CA0342" w:rsidRPr="00C02C2C">
        <w:rPr>
          <w:rFonts w:cs="Times New Roman"/>
          <w:lang w:val="en-GB"/>
        </w:rPr>
        <w:t>.</w:t>
      </w:r>
    </w:p>
    <w:p w:rsidR="00F901CC" w:rsidRPr="00B56BEE" w:rsidRDefault="00B56BEE" w:rsidP="00B56BEE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lang w:val="en-GB"/>
        </w:rPr>
        <w:t>B</w:t>
      </w:r>
      <w:r w:rsidR="00F5658D">
        <w:rPr>
          <w:rFonts w:cs="Times New Roman"/>
          <w:lang w:val="en-GB"/>
        </w:rPr>
        <w:t>ased on the results of the survey</w:t>
      </w:r>
      <w:r w:rsidR="00AF6BE5">
        <w:rPr>
          <w:rFonts w:cs="Times New Roman"/>
          <w:lang w:val="en-GB"/>
        </w:rPr>
        <w:t xml:space="preserve"> and study made</w:t>
      </w:r>
      <w:r w:rsidR="000B3D14">
        <w:rPr>
          <w:rFonts w:cs="Times New Roman"/>
          <w:lang w:val="en-GB"/>
        </w:rPr>
        <w:t xml:space="preserve"> </w:t>
      </w:r>
      <w:r w:rsidR="000B3D14">
        <w:rPr>
          <w:rFonts w:cs="Times New Roman"/>
        </w:rPr>
        <w:t>(</w:t>
      </w:r>
      <w:r w:rsidR="000B3D14">
        <w:rPr>
          <w:rFonts w:cs="Times New Roman"/>
          <w:lang w:val="en-GB"/>
        </w:rPr>
        <w:t>see point 6</w:t>
      </w:r>
      <w:r w:rsidR="00D01ACA">
        <w:rPr>
          <w:rFonts w:cs="Times New Roman"/>
          <w:lang w:val="en-GB"/>
        </w:rPr>
        <w:t xml:space="preserve"> above</w:t>
      </w:r>
      <w:bookmarkStart w:id="0" w:name="_GoBack"/>
      <w:bookmarkEnd w:id="0"/>
      <w:r w:rsidR="000B3D14">
        <w:rPr>
          <w:rFonts w:cs="Times New Roman"/>
          <w:lang w:val="en-GB"/>
        </w:rPr>
        <w:t>)</w:t>
      </w:r>
      <w:r w:rsidR="00F5658D">
        <w:rPr>
          <w:rFonts w:cs="Times New Roman"/>
          <w:lang w:val="en-GB"/>
        </w:rPr>
        <w:t xml:space="preserve"> </w:t>
      </w:r>
      <w:r w:rsidR="00D457F3" w:rsidRPr="00C02C2C">
        <w:rPr>
          <w:rFonts w:cs="Times New Roman"/>
          <w:lang w:val="en-GB"/>
        </w:rPr>
        <w:t>w</w:t>
      </w:r>
      <w:r w:rsidR="00CA0342" w:rsidRPr="00C02C2C">
        <w:rPr>
          <w:rFonts w:cs="Times New Roman"/>
          <w:lang w:val="en-GB"/>
        </w:rPr>
        <w:t xml:space="preserve">ill </w:t>
      </w:r>
      <w:r w:rsidR="00F901CC" w:rsidRPr="00C02C2C">
        <w:rPr>
          <w:rFonts w:cs="Times New Roman"/>
          <w:lang w:val="en-GB"/>
        </w:rPr>
        <w:t xml:space="preserve">propose </w:t>
      </w:r>
      <w:r w:rsidR="00CA0342" w:rsidRPr="00C02C2C">
        <w:rPr>
          <w:rFonts w:cs="Times New Roman"/>
          <w:lang w:val="en-GB"/>
        </w:rPr>
        <w:t xml:space="preserve">to </w:t>
      </w:r>
      <w:r w:rsidR="00F901CC" w:rsidRPr="00C02C2C">
        <w:rPr>
          <w:rFonts w:cs="Times New Roman"/>
          <w:lang w:val="en-GB"/>
        </w:rPr>
        <w:t xml:space="preserve">the INTOSAI </w:t>
      </w:r>
      <w:r w:rsidR="00CA0342" w:rsidRPr="00C02C2C">
        <w:rPr>
          <w:rFonts w:cs="Times New Roman"/>
          <w:lang w:val="en-GB"/>
        </w:rPr>
        <w:t xml:space="preserve">community </w:t>
      </w:r>
      <w:r w:rsidR="00F901CC" w:rsidRPr="00C02C2C">
        <w:rPr>
          <w:rFonts w:cs="Times New Roman"/>
          <w:lang w:val="en-GB"/>
        </w:rPr>
        <w:t>to hold a global conference</w:t>
      </w:r>
      <w:r w:rsidRPr="00B56BEE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>i</w:t>
      </w:r>
      <w:r w:rsidRPr="00F7483B">
        <w:rPr>
          <w:rFonts w:cs="Times New Roman"/>
          <w:b/>
          <w:lang w:val="en-GB"/>
        </w:rPr>
        <w:t>n spring 2018</w:t>
      </w:r>
      <w:r w:rsidR="00AF6BE5" w:rsidRPr="00B56BEE">
        <w:rPr>
          <w:rFonts w:cs="Times New Roman"/>
          <w:color w:val="000000" w:themeColor="text1"/>
          <w:szCs w:val="24"/>
          <w:lang w:val="en-GB"/>
        </w:rPr>
        <w:t xml:space="preserve"> topic </w:t>
      </w:r>
      <w:r>
        <w:rPr>
          <w:rFonts w:cs="Times New Roman"/>
          <w:color w:val="000000" w:themeColor="text1"/>
          <w:szCs w:val="24"/>
          <w:lang w:val="en-GB"/>
        </w:rPr>
        <w:t xml:space="preserve">being </w:t>
      </w:r>
      <w:r w:rsidR="00AF6BE5" w:rsidRPr="00B56BEE">
        <w:rPr>
          <w:b/>
          <w:lang w:val="en-US"/>
        </w:rPr>
        <w:t>Peer review as method to apply INTOSAI assessment tools</w:t>
      </w:r>
      <w:r w:rsidR="00AF6BE5" w:rsidRPr="00B56BEE">
        <w:rPr>
          <w:color w:val="1F497D"/>
          <w:lang w:val="en-US"/>
        </w:rPr>
        <w:t xml:space="preserve"> </w:t>
      </w:r>
      <w:r w:rsidR="00AF6BE5" w:rsidRPr="00B56BEE">
        <w:rPr>
          <w:rFonts w:cs="Times New Roman"/>
          <w:lang w:val="en-GB"/>
        </w:rPr>
        <w:t>(</w:t>
      </w:r>
      <w:r w:rsidR="00853E83" w:rsidRPr="00B56BEE">
        <w:rPr>
          <w:rFonts w:cs="Times New Roman"/>
          <w:lang w:val="en-GB"/>
        </w:rPr>
        <w:t>providing adequate interest would be show</w:t>
      </w:r>
      <w:r w:rsidR="00857E93" w:rsidRPr="00B56BEE">
        <w:rPr>
          <w:rFonts w:cs="Times New Roman"/>
          <w:lang w:val="en-GB"/>
        </w:rPr>
        <w:t>n by the pro</w:t>
      </w:r>
      <w:r w:rsidR="00671A74" w:rsidRPr="00B56BEE">
        <w:rPr>
          <w:rFonts w:cs="Times New Roman"/>
          <w:lang w:val="en-GB"/>
        </w:rPr>
        <w:t>fessional community at the time</w:t>
      </w:r>
      <w:r w:rsidR="00AF6BE5" w:rsidRPr="00B56BEE">
        <w:rPr>
          <w:rFonts w:cs="Times New Roman"/>
          <w:lang w:val="en-GB"/>
        </w:rPr>
        <w:t>)</w:t>
      </w:r>
      <w:r w:rsidR="00857E93" w:rsidRPr="00B56BEE">
        <w:rPr>
          <w:rFonts w:cs="Times New Roman"/>
          <w:lang w:val="en-GB"/>
        </w:rPr>
        <w:t>.</w:t>
      </w:r>
      <w:r w:rsidR="00F901CC" w:rsidRPr="00B56BEE">
        <w:rPr>
          <w:rFonts w:cs="Times New Roman"/>
          <w:lang w:val="en-GB"/>
        </w:rPr>
        <w:t xml:space="preserve"> </w:t>
      </w:r>
    </w:p>
    <w:p w:rsidR="00F7483B" w:rsidRPr="00C02C2C" w:rsidRDefault="00F7483B" w:rsidP="00414414">
      <w:pPr>
        <w:numPr>
          <w:ilvl w:val="0"/>
          <w:numId w:val="1"/>
        </w:numPr>
        <w:tabs>
          <w:tab w:val="left" w:pos="0"/>
        </w:tabs>
        <w:spacing w:after="120" w:line="300" w:lineRule="exact"/>
        <w:jc w:val="both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lang w:val="en-GB"/>
        </w:rPr>
        <w:t xml:space="preserve"> </w:t>
      </w:r>
      <w:r w:rsidRPr="00F7483B">
        <w:rPr>
          <w:rFonts w:cs="Times New Roman"/>
          <w:b/>
          <w:lang w:val="en-GB"/>
        </w:rPr>
        <w:t>In 2019</w:t>
      </w:r>
      <w:r>
        <w:rPr>
          <w:rFonts w:cs="Times New Roman"/>
          <w:lang w:val="en-GB"/>
        </w:rPr>
        <w:t xml:space="preserve">, will publish the results of the global survey, study and global conference </w:t>
      </w:r>
      <w:r w:rsidR="0070267A">
        <w:rPr>
          <w:rFonts w:cs="Times New Roman"/>
          <w:lang w:val="en-GB"/>
        </w:rPr>
        <w:t xml:space="preserve">addressing the issues raised by the mentioned events and documents in a comprehensive material summing up the knowledge collected. </w:t>
      </w:r>
      <w:r>
        <w:rPr>
          <w:rFonts w:cs="Times New Roman"/>
          <w:lang w:val="en-GB"/>
        </w:rPr>
        <w:t xml:space="preserve">  </w:t>
      </w:r>
    </w:p>
    <w:p w:rsidR="00403BFE" w:rsidRPr="00C02C2C" w:rsidRDefault="00403BFE" w:rsidP="00D457F3">
      <w:pPr>
        <w:tabs>
          <w:tab w:val="left" w:pos="0"/>
        </w:tabs>
        <w:spacing w:after="120" w:line="300" w:lineRule="exact"/>
        <w:ind w:left="786"/>
        <w:jc w:val="both"/>
        <w:rPr>
          <w:rFonts w:cs="Times New Roman"/>
          <w:lang w:val="en-GB"/>
        </w:rPr>
      </w:pPr>
    </w:p>
    <w:sectPr w:rsidR="00403BFE" w:rsidRPr="00C02C2C" w:rsidSect="0035305F">
      <w:footerReference w:type="default" r:id="rId27"/>
      <w:pgSz w:w="11906" w:h="16838"/>
      <w:pgMar w:top="-709" w:right="1417" w:bottom="1134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3" w:rsidRDefault="00217C83" w:rsidP="00E664D0">
      <w:pPr>
        <w:spacing w:after="0" w:line="240" w:lineRule="auto"/>
      </w:pPr>
      <w:r>
        <w:separator/>
      </w:r>
    </w:p>
  </w:endnote>
  <w:endnote w:type="continuationSeparator" w:id="0">
    <w:p w:rsidR="00217C83" w:rsidRDefault="00217C83" w:rsidP="00E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316"/>
      <w:docPartObj>
        <w:docPartGallery w:val="Page Numbers (Bottom of Page)"/>
        <w:docPartUnique/>
      </w:docPartObj>
    </w:sdtPr>
    <w:sdtEndPr/>
    <w:sdtContent>
      <w:p w:rsidR="00C23C87" w:rsidRDefault="00C258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3C87" w:rsidRDefault="00C23C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3" w:rsidRDefault="00217C83" w:rsidP="00E664D0">
      <w:pPr>
        <w:spacing w:after="0" w:line="240" w:lineRule="auto"/>
      </w:pPr>
      <w:r>
        <w:separator/>
      </w:r>
    </w:p>
  </w:footnote>
  <w:footnote w:type="continuationSeparator" w:id="0">
    <w:p w:rsidR="00217C83" w:rsidRDefault="00217C83" w:rsidP="00E6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D2"/>
    <w:multiLevelType w:val="hybridMultilevel"/>
    <w:tmpl w:val="B0424F1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619B4"/>
    <w:multiLevelType w:val="hybridMultilevel"/>
    <w:tmpl w:val="9C202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4495"/>
    <w:multiLevelType w:val="hybridMultilevel"/>
    <w:tmpl w:val="A454B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131B"/>
    <w:multiLevelType w:val="hybridMultilevel"/>
    <w:tmpl w:val="2758B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30C8"/>
    <w:multiLevelType w:val="hybridMultilevel"/>
    <w:tmpl w:val="66A06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9DE"/>
    <w:multiLevelType w:val="hybridMultilevel"/>
    <w:tmpl w:val="2EC8F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37043"/>
    <w:multiLevelType w:val="hybridMultilevel"/>
    <w:tmpl w:val="FB48B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DAF"/>
    <w:multiLevelType w:val="hybridMultilevel"/>
    <w:tmpl w:val="B0424F1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CA2E25"/>
    <w:multiLevelType w:val="hybridMultilevel"/>
    <w:tmpl w:val="FD4E2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360E0"/>
    <w:multiLevelType w:val="hybridMultilevel"/>
    <w:tmpl w:val="65E0CF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0533E"/>
    <w:multiLevelType w:val="hybridMultilevel"/>
    <w:tmpl w:val="5BA8B94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0"/>
    <w:rsid w:val="00002431"/>
    <w:rsid w:val="00013139"/>
    <w:rsid w:val="0001328A"/>
    <w:rsid w:val="0002570A"/>
    <w:rsid w:val="00041A0D"/>
    <w:rsid w:val="000603B8"/>
    <w:rsid w:val="00062C32"/>
    <w:rsid w:val="00073629"/>
    <w:rsid w:val="00075317"/>
    <w:rsid w:val="000773A2"/>
    <w:rsid w:val="00095ABC"/>
    <w:rsid w:val="000B3D14"/>
    <w:rsid w:val="000C0350"/>
    <w:rsid w:val="000F2DA3"/>
    <w:rsid w:val="000F647B"/>
    <w:rsid w:val="001047C6"/>
    <w:rsid w:val="00106D77"/>
    <w:rsid w:val="001401D3"/>
    <w:rsid w:val="00147ACB"/>
    <w:rsid w:val="00156C46"/>
    <w:rsid w:val="0017176F"/>
    <w:rsid w:val="0018446C"/>
    <w:rsid w:val="00184F38"/>
    <w:rsid w:val="001B4016"/>
    <w:rsid w:val="001C78BA"/>
    <w:rsid w:val="001D002A"/>
    <w:rsid w:val="001D74D5"/>
    <w:rsid w:val="001F08C3"/>
    <w:rsid w:val="001F2941"/>
    <w:rsid w:val="00210058"/>
    <w:rsid w:val="00217065"/>
    <w:rsid w:val="00217C83"/>
    <w:rsid w:val="00231911"/>
    <w:rsid w:val="00235698"/>
    <w:rsid w:val="00243E10"/>
    <w:rsid w:val="002452A2"/>
    <w:rsid w:val="0025598F"/>
    <w:rsid w:val="00275C07"/>
    <w:rsid w:val="002928AF"/>
    <w:rsid w:val="00293F86"/>
    <w:rsid w:val="002A2111"/>
    <w:rsid w:val="002A5EC5"/>
    <w:rsid w:val="002A7E2F"/>
    <w:rsid w:val="003024C8"/>
    <w:rsid w:val="003060EB"/>
    <w:rsid w:val="0032615B"/>
    <w:rsid w:val="003315B0"/>
    <w:rsid w:val="00331CE4"/>
    <w:rsid w:val="00334014"/>
    <w:rsid w:val="0035305F"/>
    <w:rsid w:val="00353616"/>
    <w:rsid w:val="00355072"/>
    <w:rsid w:val="003635E9"/>
    <w:rsid w:val="00366E7E"/>
    <w:rsid w:val="00370EE1"/>
    <w:rsid w:val="003A3CFF"/>
    <w:rsid w:val="003A7380"/>
    <w:rsid w:val="003B3EB3"/>
    <w:rsid w:val="003B5068"/>
    <w:rsid w:val="003B63ED"/>
    <w:rsid w:val="003C4DC7"/>
    <w:rsid w:val="003D7014"/>
    <w:rsid w:val="003F40A2"/>
    <w:rsid w:val="003F4165"/>
    <w:rsid w:val="00403BFE"/>
    <w:rsid w:val="00414414"/>
    <w:rsid w:val="004148F4"/>
    <w:rsid w:val="00443EA2"/>
    <w:rsid w:val="004533B0"/>
    <w:rsid w:val="00457CDC"/>
    <w:rsid w:val="00490434"/>
    <w:rsid w:val="004A4340"/>
    <w:rsid w:val="004B60C8"/>
    <w:rsid w:val="004C7884"/>
    <w:rsid w:val="004E4B96"/>
    <w:rsid w:val="004F1DAC"/>
    <w:rsid w:val="00510377"/>
    <w:rsid w:val="005266CF"/>
    <w:rsid w:val="00534626"/>
    <w:rsid w:val="00547FEE"/>
    <w:rsid w:val="00552280"/>
    <w:rsid w:val="0057058C"/>
    <w:rsid w:val="005712B1"/>
    <w:rsid w:val="0058223B"/>
    <w:rsid w:val="00582EAC"/>
    <w:rsid w:val="00583949"/>
    <w:rsid w:val="0058781C"/>
    <w:rsid w:val="005B654A"/>
    <w:rsid w:val="005C2CA5"/>
    <w:rsid w:val="005C327D"/>
    <w:rsid w:val="005D470A"/>
    <w:rsid w:val="005F5831"/>
    <w:rsid w:val="00623AEE"/>
    <w:rsid w:val="00633939"/>
    <w:rsid w:val="00644207"/>
    <w:rsid w:val="00652727"/>
    <w:rsid w:val="00653F33"/>
    <w:rsid w:val="0066410B"/>
    <w:rsid w:val="00667C1F"/>
    <w:rsid w:val="00671A74"/>
    <w:rsid w:val="00672DE1"/>
    <w:rsid w:val="0068344D"/>
    <w:rsid w:val="006834C6"/>
    <w:rsid w:val="00686525"/>
    <w:rsid w:val="006866F4"/>
    <w:rsid w:val="0068779E"/>
    <w:rsid w:val="00693A91"/>
    <w:rsid w:val="00696709"/>
    <w:rsid w:val="006A7AF2"/>
    <w:rsid w:val="006B586F"/>
    <w:rsid w:val="006D4D6A"/>
    <w:rsid w:val="006D7C20"/>
    <w:rsid w:val="006E59FD"/>
    <w:rsid w:val="006F02D2"/>
    <w:rsid w:val="007013B9"/>
    <w:rsid w:val="0070267A"/>
    <w:rsid w:val="007303DA"/>
    <w:rsid w:val="007333EE"/>
    <w:rsid w:val="007334D8"/>
    <w:rsid w:val="00737BB3"/>
    <w:rsid w:val="0076305E"/>
    <w:rsid w:val="00764874"/>
    <w:rsid w:val="007900A5"/>
    <w:rsid w:val="00793186"/>
    <w:rsid w:val="007A0192"/>
    <w:rsid w:val="007A0A21"/>
    <w:rsid w:val="007B27F6"/>
    <w:rsid w:val="007B526D"/>
    <w:rsid w:val="007B6CD1"/>
    <w:rsid w:val="007B79DC"/>
    <w:rsid w:val="007C1C7B"/>
    <w:rsid w:val="007C4180"/>
    <w:rsid w:val="007F1B7D"/>
    <w:rsid w:val="008034EF"/>
    <w:rsid w:val="0080557F"/>
    <w:rsid w:val="00806D38"/>
    <w:rsid w:val="008136E9"/>
    <w:rsid w:val="0083127C"/>
    <w:rsid w:val="00832024"/>
    <w:rsid w:val="008334BF"/>
    <w:rsid w:val="00840CF7"/>
    <w:rsid w:val="0085028D"/>
    <w:rsid w:val="00853E83"/>
    <w:rsid w:val="00857E93"/>
    <w:rsid w:val="00872B8C"/>
    <w:rsid w:val="00873481"/>
    <w:rsid w:val="00874369"/>
    <w:rsid w:val="00876CF3"/>
    <w:rsid w:val="0088150E"/>
    <w:rsid w:val="008970E6"/>
    <w:rsid w:val="008A093D"/>
    <w:rsid w:val="008A2907"/>
    <w:rsid w:val="008D44EC"/>
    <w:rsid w:val="008E1B69"/>
    <w:rsid w:val="008E59F5"/>
    <w:rsid w:val="00913AC7"/>
    <w:rsid w:val="00921068"/>
    <w:rsid w:val="00927077"/>
    <w:rsid w:val="00947F6D"/>
    <w:rsid w:val="009503DB"/>
    <w:rsid w:val="00957C26"/>
    <w:rsid w:val="00974BDC"/>
    <w:rsid w:val="0098138C"/>
    <w:rsid w:val="0098429A"/>
    <w:rsid w:val="00990953"/>
    <w:rsid w:val="0099661C"/>
    <w:rsid w:val="0099782D"/>
    <w:rsid w:val="00997F2E"/>
    <w:rsid w:val="009C1F19"/>
    <w:rsid w:val="009C5897"/>
    <w:rsid w:val="009E31E1"/>
    <w:rsid w:val="00A15859"/>
    <w:rsid w:val="00A21B9F"/>
    <w:rsid w:val="00A37197"/>
    <w:rsid w:val="00A5363E"/>
    <w:rsid w:val="00A572ED"/>
    <w:rsid w:val="00A7134E"/>
    <w:rsid w:val="00A87486"/>
    <w:rsid w:val="00A874F7"/>
    <w:rsid w:val="00A905C1"/>
    <w:rsid w:val="00AB39A8"/>
    <w:rsid w:val="00AB3EFF"/>
    <w:rsid w:val="00AB6604"/>
    <w:rsid w:val="00AC15D0"/>
    <w:rsid w:val="00AC64B9"/>
    <w:rsid w:val="00AD3568"/>
    <w:rsid w:val="00AD67A8"/>
    <w:rsid w:val="00AE1D20"/>
    <w:rsid w:val="00AE4814"/>
    <w:rsid w:val="00AF431A"/>
    <w:rsid w:val="00AF4A13"/>
    <w:rsid w:val="00AF5FEE"/>
    <w:rsid w:val="00AF6BE5"/>
    <w:rsid w:val="00B019AF"/>
    <w:rsid w:val="00B1018A"/>
    <w:rsid w:val="00B16C2F"/>
    <w:rsid w:val="00B20060"/>
    <w:rsid w:val="00B25B85"/>
    <w:rsid w:val="00B2771F"/>
    <w:rsid w:val="00B40C1D"/>
    <w:rsid w:val="00B54EBC"/>
    <w:rsid w:val="00B56BEE"/>
    <w:rsid w:val="00B57492"/>
    <w:rsid w:val="00B6049B"/>
    <w:rsid w:val="00B6574D"/>
    <w:rsid w:val="00B8514B"/>
    <w:rsid w:val="00B87BEB"/>
    <w:rsid w:val="00B90506"/>
    <w:rsid w:val="00B91FC6"/>
    <w:rsid w:val="00BD5B80"/>
    <w:rsid w:val="00C02C2C"/>
    <w:rsid w:val="00C10BEF"/>
    <w:rsid w:val="00C11A23"/>
    <w:rsid w:val="00C2136E"/>
    <w:rsid w:val="00C23C87"/>
    <w:rsid w:val="00C2581D"/>
    <w:rsid w:val="00C42BDA"/>
    <w:rsid w:val="00C460CB"/>
    <w:rsid w:val="00C50E1E"/>
    <w:rsid w:val="00C70C4F"/>
    <w:rsid w:val="00C800C5"/>
    <w:rsid w:val="00C8040E"/>
    <w:rsid w:val="00C92CE5"/>
    <w:rsid w:val="00C95244"/>
    <w:rsid w:val="00C967C9"/>
    <w:rsid w:val="00CA0342"/>
    <w:rsid w:val="00CB1677"/>
    <w:rsid w:val="00CB2213"/>
    <w:rsid w:val="00CC160D"/>
    <w:rsid w:val="00CC308B"/>
    <w:rsid w:val="00CD0A29"/>
    <w:rsid w:val="00CD0E04"/>
    <w:rsid w:val="00CD42E5"/>
    <w:rsid w:val="00CE06F0"/>
    <w:rsid w:val="00CE08EB"/>
    <w:rsid w:val="00CE4627"/>
    <w:rsid w:val="00CF56CD"/>
    <w:rsid w:val="00D01ACA"/>
    <w:rsid w:val="00D02143"/>
    <w:rsid w:val="00D313C6"/>
    <w:rsid w:val="00D3330D"/>
    <w:rsid w:val="00D36DA8"/>
    <w:rsid w:val="00D410A1"/>
    <w:rsid w:val="00D457F3"/>
    <w:rsid w:val="00D55CFF"/>
    <w:rsid w:val="00D56294"/>
    <w:rsid w:val="00D56D95"/>
    <w:rsid w:val="00D57222"/>
    <w:rsid w:val="00D70626"/>
    <w:rsid w:val="00D71F69"/>
    <w:rsid w:val="00D811CC"/>
    <w:rsid w:val="00D81B93"/>
    <w:rsid w:val="00D87EE7"/>
    <w:rsid w:val="00D912E2"/>
    <w:rsid w:val="00D91D18"/>
    <w:rsid w:val="00DB36BF"/>
    <w:rsid w:val="00DC0E4F"/>
    <w:rsid w:val="00DC2AB4"/>
    <w:rsid w:val="00DD193B"/>
    <w:rsid w:val="00DD577F"/>
    <w:rsid w:val="00DF7E7B"/>
    <w:rsid w:val="00E01547"/>
    <w:rsid w:val="00E04A8D"/>
    <w:rsid w:val="00E12DF0"/>
    <w:rsid w:val="00E21A72"/>
    <w:rsid w:val="00E21F9E"/>
    <w:rsid w:val="00E3701A"/>
    <w:rsid w:val="00E40B39"/>
    <w:rsid w:val="00E42F02"/>
    <w:rsid w:val="00E43BCE"/>
    <w:rsid w:val="00E5408E"/>
    <w:rsid w:val="00E543B8"/>
    <w:rsid w:val="00E548B1"/>
    <w:rsid w:val="00E56F70"/>
    <w:rsid w:val="00E6264E"/>
    <w:rsid w:val="00E653D1"/>
    <w:rsid w:val="00E664D0"/>
    <w:rsid w:val="00E74272"/>
    <w:rsid w:val="00E804B6"/>
    <w:rsid w:val="00E810FA"/>
    <w:rsid w:val="00EA79F8"/>
    <w:rsid w:val="00EB24B3"/>
    <w:rsid w:val="00EC3558"/>
    <w:rsid w:val="00ED3E90"/>
    <w:rsid w:val="00EF072A"/>
    <w:rsid w:val="00EF1A01"/>
    <w:rsid w:val="00EF66F5"/>
    <w:rsid w:val="00EF6AD2"/>
    <w:rsid w:val="00F042A7"/>
    <w:rsid w:val="00F07BDB"/>
    <w:rsid w:val="00F106DB"/>
    <w:rsid w:val="00F12B06"/>
    <w:rsid w:val="00F421C1"/>
    <w:rsid w:val="00F43DBC"/>
    <w:rsid w:val="00F5144C"/>
    <w:rsid w:val="00F5658D"/>
    <w:rsid w:val="00F6022E"/>
    <w:rsid w:val="00F7483B"/>
    <w:rsid w:val="00F76B87"/>
    <w:rsid w:val="00F901CC"/>
    <w:rsid w:val="00F934DA"/>
    <w:rsid w:val="00FA387E"/>
    <w:rsid w:val="00FA6759"/>
    <w:rsid w:val="00FA75A9"/>
    <w:rsid w:val="00FB75BA"/>
    <w:rsid w:val="00FD1390"/>
    <w:rsid w:val="00FD384F"/>
    <w:rsid w:val="00FD5F06"/>
    <w:rsid w:val="00FE2D25"/>
    <w:rsid w:val="00FE5F72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4D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64D0"/>
  </w:style>
  <w:style w:type="paragraph" w:styleId="Pta">
    <w:name w:val="footer"/>
    <w:basedOn w:val="Normlny"/>
    <w:link w:val="PtaChar"/>
    <w:uiPriority w:val="99"/>
    <w:unhideWhenUsed/>
    <w:rsid w:val="00E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4D0"/>
  </w:style>
  <w:style w:type="character" w:styleId="Hypertextovprepojenie">
    <w:name w:val="Hyperlink"/>
    <w:basedOn w:val="Predvolenpsmoodseku"/>
    <w:rsid w:val="006967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670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st">
    <w:name w:val="st"/>
    <w:basedOn w:val="Predvolenpsmoodseku"/>
    <w:rsid w:val="00696709"/>
  </w:style>
  <w:style w:type="character" w:styleId="Zvraznenie">
    <w:name w:val="Emphasis"/>
    <w:basedOn w:val="Predvolenpsmoodseku"/>
    <w:uiPriority w:val="20"/>
    <w:qFormat/>
    <w:rsid w:val="00696709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9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94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949"/>
    <w:rPr>
      <w:vertAlign w:val="superscript"/>
    </w:rPr>
  </w:style>
  <w:style w:type="table" w:styleId="Mriekatabuky">
    <w:name w:val="Table Grid"/>
    <w:basedOn w:val="Normlnatabuka"/>
    <w:uiPriority w:val="59"/>
    <w:rsid w:val="0058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B63ED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693A9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93A91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hps">
    <w:name w:val="hps"/>
    <w:basedOn w:val="Predvolenpsmoodseku"/>
    <w:rsid w:val="005712B1"/>
  </w:style>
  <w:style w:type="table" w:customStyle="1" w:styleId="Mriekatabuky1">
    <w:name w:val="Mriežka tabuľky1"/>
    <w:basedOn w:val="Normlnatabuka"/>
    <w:next w:val="Mriekatabuky"/>
    <w:uiPriority w:val="59"/>
    <w:rsid w:val="0058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91F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EF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4D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64D0"/>
  </w:style>
  <w:style w:type="paragraph" w:styleId="Pta">
    <w:name w:val="footer"/>
    <w:basedOn w:val="Normlny"/>
    <w:link w:val="PtaChar"/>
    <w:uiPriority w:val="99"/>
    <w:unhideWhenUsed/>
    <w:rsid w:val="00E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4D0"/>
  </w:style>
  <w:style w:type="character" w:styleId="Hypertextovprepojenie">
    <w:name w:val="Hyperlink"/>
    <w:basedOn w:val="Predvolenpsmoodseku"/>
    <w:rsid w:val="006967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670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st">
    <w:name w:val="st"/>
    <w:basedOn w:val="Predvolenpsmoodseku"/>
    <w:rsid w:val="00696709"/>
  </w:style>
  <w:style w:type="character" w:styleId="Zvraznenie">
    <w:name w:val="Emphasis"/>
    <w:basedOn w:val="Predvolenpsmoodseku"/>
    <w:uiPriority w:val="20"/>
    <w:qFormat/>
    <w:rsid w:val="00696709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9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94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949"/>
    <w:rPr>
      <w:vertAlign w:val="superscript"/>
    </w:rPr>
  </w:style>
  <w:style w:type="table" w:styleId="Mriekatabuky">
    <w:name w:val="Table Grid"/>
    <w:basedOn w:val="Normlnatabuka"/>
    <w:uiPriority w:val="59"/>
    <w:rsid w:val="0058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B63ED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693A9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93A91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hps">
    <w:name w:val="hps"/>
    <w:basedOn w:val="Predvolenpsmoodseku"/>
    <w:rsid w:val="005712B1"/>
  </w:style>
  <w:style w:type="table" w:customStyle="1" w:styleId="Mriekatabuky1">
    <w:name w:val="Mriežka tabuľky1"/>
    <w:basedOn w:val="Normlnatabuka"/>
    <w:next w:val="Mriekatabuky"/>
    <w:uiPriority w:val="59"/>
    <w:rsid w:val="0058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91F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EF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osaicbc.org/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www.issai.org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cid:image001.png@01D1E80D.F9A1BB80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issai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eurosai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http://www.intosaicbc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hyperlink" Target="http://www.intosaijournal.org/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racovn__h_rok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 w="28575"/>
      </c:spPr>
    </c:sideWall>
    <c:backWall>
      <c:thickness val="0"/>
      <c:spPr>
        <a:ln w="28575"/>
      </c:spPr>
    </c:backWall>
    <c:plotArea>
      <c:layout>
        <c:manualLayout>
          <c:layoutTarget val="inner"/>
          <c:xMode val="edge"/>
          <c:yMode val="edge"/>
          <c:x val="8.0922140611884241E-2"/>
          <c:y val="0.12321765618713716"/>
          <c:w val="0.91855600145078453"/>
          <c:h val="0.6719111754332086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0057470126541974E-2"/>
                  <c:y val="-2.5518341307814992E-2"/>
                </c:manualLayout>
              </c:layout>
              <c:tx>
                <c:rich>
                  <a:bodyPr/>
                  <a:lstStyle/>
                  <a:p>
                    <a:r>
                      <a:rPr lang="sk-SK" sz="800" b="1"/>
                      <a:t>149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206886798931258E-3"/>
                  <c:y val="-2.551834130781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931033019839701E-2"/>
                  <c:y val="-2.2328548644338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67814466488545E-2"/>
                  <c:y val="-2.551834130781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494251573190836E-2"/>
                  <c:y val="-3.189792663476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94251573190836E-2"/>
                  <c:y val="-2.8708133971291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057470126541974E-2"/>
                  <c:y val="-3.189792663476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206886798931258E-3"/>
                  <c:y val="-3.189792663476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206886798931258E-3"/>
                  <c:y val="-2.8708133971291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'by regions'!$A$1:$A$7</c:f>
              <c:strCache>
                <c:ptCount val="7"/>
                <c:pt idx="0">
                  <c:v>EUROSAI 
(incl. ECA)</c:v>
                </c:pt>
                <c:pt idx="1">
                  <c:v>OLACEFS</c:v>
                </c:pt>
                <c:pt idx="2">
                  <c:v>AFROSAI </c:v>
                </c:pt>
                <c:pt idx="3">
                  <c:v>ASOSAI </c:v>
                </c:pt>
                <c:pt idx="4">
                  <c:v>PASAI</c:v>
                </c:pt>
                <c:pt idx="5">
                  <c:v>CAROSAI</c:v>
                </c:pt>
                <c:pt idx="6">
                  <c:v>ARABOSAI</c:v>
                </c:pt>
              </c:strCache>
            </c:strRef>
          </c:cat>
          <c:val>
            <c:numRef>
              <c:f>'by regions'!$B$1:$B$7</c:f>
              <c:numCache>
                <c:formatCode>General</c:formatCode>
                <c:ptCount val="7"/>
                <c:pt idx="0">
                  <c:v>149</c:v>
                </c:pt>
                <c:pt idx="1">
                  <c:v>18</c:v>
                </c:pt>
                <c:pt idx="2">
                  <c:v>17</c:v>
                </c:pt>
                <c:pt idx="3">
                  <c:v>4</c:v>
                </c:pt>
                <c:pt idx="4">
                  <c:v>14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451328"/>
        <c:axId val="118712576"/>
        <c:axId val="0"/>
      </c:bar3DChart>
      <c:catAx>
        <c:axId val="1084513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rgbClr val="FFFF00"/>
          </a:solidFill>
        </c:spPr>
        <c:txPr>
          <a:bodyPr/>
          <a:lstStyle/>
          <a:p>
            <a:pPr>
              <a:defRPr sz="800" b="1" i="0"/>
            </a:pPr>
            <a:endParaRPr lang="sk-SK"/>
          </a:p>
        </c:txPr>
        <c:crossAx val="118712576"/>
        <c:crosses val="autoZero"/>
        <c:auto val="1"/>
        <c:lblAlgn val="ctr"/>
        <c:lblOffset val="100"/>
        <c:noMultiLvlLbl val="0"/>
      </c:catAx>
      <c:valAx>
        <c:axId val="11871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5132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5400">
      <a:solidFill>
        <a:srgbClr val="00206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2462845010615815E-3"/>
                  <c:y val="-1.816530426884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5428167020524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462845010615815E-3"/>
                  <c:y val="-1.4532243415077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925690021231681E-3"/>
                  <c:y val="-3.2697547683923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462845010615815E-3"/>
                  <c:y val="-1.816530426884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308563340410427E-3"/>
                  <c:y val="-1.816530426884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462845010615815E-3"/>
                  <c:y val="-6.1762034514078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462845010615815E-3"/>
                  <c:y val="-5.8128973660308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462845010615815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661712668082095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661712668082095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661712668082095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154281670206274E-3"/>
                  <c:y val="-5.0862851952770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8308563340411507E-3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661712668082095E-3"/>
                  <c:y val="-1.816530426884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8308563340410427E-3"/>
                  <c:y val="-2.9064486830154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800" b="1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'by year'!$A$2:$A$18</c:f>
              <c:numCache>
                <c:formatCode>General</c:formatCode>
                <c:ptCount val="17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</c:numCache>
            </c:numRef>
          </c:cat>
          <c:val>
            <c:numRef>
              <c:f>'by year'!$B$2:$B$18</c:f>
              <c:numCache>
                <c:formatCode>General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6</c:v>
                </c:pt>
                <c:pt idx="10">
                  <c:v>2</c:v>
                </c:pt>
                <c:pt idx="11">
                  <c:v>5</c:v>
                </c:pt>
                <c:pt idx="12">
                  <c:v>6</c:v>
                </c:pt>
                <c:pt idx="13">
                  <c:v>16</c:v>
                </c:pt>
                <c:pt idx="14">
                  <c:v>8</c:v>
                </c:pt>
                <c:pt idx="15">
                  <c:v>17</c:v>
                </c:pt>
                <c:pt idx="1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782144"/>
        <c:axId val="118714304"/>
        <c:axId val="0"/>
      </c:bar3DChart>
      <c:catAx>
        <c:axId val="10778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chemeClr val="accent6">
              <a:lumMod val="20000"/>
              <a:lumOff val="80000"/>
            </a:schemeClr>
          </a:solidFill>
        </c:spPr>
        <c:txPr>
          <a:bodyPr/>
          <a:lstStyle/>
          <a:p>
            <a:pPr>
              <a:defRPr sz="800" b="1">
                <a:latin typeface="+mn-lt"/>
                <a:ea typeface="Arial Unicode MS" pitchFamily="34" charset="-128"/>
                <a:cs typeface="Arial Unicode MS" pitchFamily="34" charset="-128"/>
              </a:defRPr>
            </a:pPr>
            <a:endParaRPr lang="sk-SK"/>
          </a:p>
        </c:txPr>
        <c:crossAx val="118714304"/>
        <c:crosses val="autoZero"/>
        <c:auto val="1"/>
        <c:lblAlgn val="ctr"/>
        <c:lblOffset val="100"/>
        <c:noMultiLvlLbl val="0"/>
      </c:catAx>
      <c:valAx>
        <c:axId val="1187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FFF00"/>
          </a:solidFill>
        </c:spPr>
        <c:txPr>
          <a:bodyPr/>
          <a:lstStyle/>
          <a:p>
            <a:pPr>
              <a:defRPr sz="800" b="1">
                <a:latin typeface="+mn-lt"/>
                <a:ea typeface="Arial Unicode MS" pitchFamily="34" charset="-128"/>
                <a:cs typeface="Arial Unicode MS" pitchFamily="34" charset="-128"/>
              </a:defRPr>
            </a:pPr>
            <a:endParaRPr lang="sk-SK"/>
          </a:p>
        </c:txPr>
        <c:crossAx val="107782144"/>
        <c:crosses val="autoZero"/>
        <c:crossBetween val="between"/>
      </c:valAx>
    </c:plotArea>
    <c:plotVisOnly val="1"/>
    <c:dispBlanksAs val="gap"/>
    <c:showDLblsOverMax val="0"/>
  </c:chart>
  <c:spPr>
    <a:solidFill>
      <a:srgbClr val="F79646">
        <a:lumMod val="20000"/>
        <a:lumOff val="80000"/>
      </a:srgbClr>
    </a:solidFill>
    <a:ln w="28575" cmpd="sng">
      <a:solidFill>
        <a:srgbClr val="002060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0.90725</cdr:x>
      <cdr:y>0.63049</cdr:y>
    </cdr:from>
    <cdr:to>
      <cdr:x>1</cdr:x>
      <cdr:y>0.87855</cdr:y>
    </cdr:to>
    <cdr:sp macro="" textlink="">
      <cdr:nvSpPr>
        <cdr:cNvPr id="3" name="BlokTextu 2"/>
        <cdr:cNvSpPr txBox="1"/>
      </cdr:nvSpPr>
      <cdr:spPr>
        <a:xfrm xmlns:a="http://schemas.openxmlformats.org/drawingml/2006/main">
          <a:off x="9124951" y="2324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BAF9-CDCD-4030-9D6C-7A25226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Gál Imrich</cp:lastModifiedBy>
  <cp:revision>4</cp:revision>
  <cp:lastPrinted>2016-08-02T11:10:00Z</cp:lastPrinted>
  <dcterms:created xsi:type="dcterms:W3CDTF">2016-09-14T06:50:00Z</dcterms:created>
  <dcterms:modified xsi:type="dcterms:W3CDTF">2016-09-19T08:00:00Z</dcterms:modified>
</cp:coreProperties>
</file>