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AC" w:rsidRDefault="008355D2" w:rsidP="00FC3544">
      <w:pPr>
        <w:pStyle w:val="Rubrik"/>
        <w:spacing w:line="300" w:lineRule="atLeast"/>
        <w:jc w:val="center"/>
        <w:rPr>
          <w:b/>
          <w:color w:val="1F497D" w:themeColor="text2"/>
          <w:sz w:val="48"/>
          <w:szCs w:val="48"/>
          <w:lang w:val="en-GB"/>
        </w:rPr>
      </w:pPr>
      <w:r w:rsidRPr="005A7889">
        <w:rPr>
          <w:b/>
          <w:color w:val="1F497D" w:themeColor="text2"/>
          <w:sz w:val="48"/>
          <w:szCs w:val="48"/>
          <w:lang w:val="en-GB"/>
        </w:rPr>
        <w:t>CB</w:t>
      </w:r>
      <w:r w:rsidR="00030BDD" w:rsidRPr="005A7889">
        <w:rPr>
          <w:b/>
          <w:color w:val="1F497D" w:themeColor="text2"/>
          <w:sz w:val="48"/>
          <w:szCs w:val="48"/>
          <w:lang w:val="en-GB"/>
        </w:rPr>
        <w:t xml:space="preserve">C IntoSAINT </w:t>
      </w:r>
      <w:r w:rsidR="006C19CE">
        <w:rPr>
          <w:b/>
          <w:color w:val="1F497D" w:themeColor="text2"/>
          <w:sz w:val="48"/>
          <w:szCs w:val="48"/>
          <w:lang w:val="en-GB"/>
        </w:rPr>
        <w:t>workstream</w:t>
      </w:r>
    </w:p>
    <w:p w:rsidR="00913DDA" w:rsidRDefault="00495A20" w:rsidP="00FC3544">
      <w:pPr>
        <w:pStyle w:val="Rubrik"/>
        <w:spacing w:line="300" w:lineRule="atLeast"/>
        <w:jc w:val="center"/>
        <w:rPr>
          <w:color w:val="1F497D" w:themeColor="text2"/>
          <w:sz w:val="32"/>
          <w:szCs w:val="32"/>
          <w:lang w:val="en-GB"/>
        </w:rPr>
      </w:pPr>
      <w:r>
        <w:rPr>
          <w:b/>
          <w:color w:val="1F497D" w:themeColor="text2"/>
          <w:sz w:val="48"/>
          <w:szCs w:val="48"/>
          <w:lang w:val="en-GB"/>
        </w:rPr>
        <w:br/>
      </w:r>
      <w:r w:rsidR="00F82F5C" w:rsidRPr="00495A20">
        <w:rPr>
          <w:b/>
          <w:color w:val="1F497D" w:themeColor="text2"/>
          <w:sz w:val="44"/>
          <w:szCs w:val="44"/>
          <w:lang w:val="en-GB"/>
        </w:rPr>
        <w:t>Progress r</w:t>
      </w:r>
      <w:r w:rsidR="00030BDD" w:rsidRPr="00495A20">
        <w:rPr>
          <w:b/>
          <w:color w:val="1F497D" w:themeColor="text2"/>
          <w:sz w:val="44"/>
          <w:szCs w:val="44"/>
          <w:lang w:val="en-GB"/>
        </w:rPr>
        <w:t>eport</w:t>
      </w:r>
      <w:r w:rsidR="00030BDD" w:rsidRPr="005A7889">
        <w:rPr>
          <w:b/>
          <w:color w:val="1F497D" w:themeColor="text2"/>
          <w:sz w:val="48"/>
          <w:szCs w:val="48"/>
          <w:lang w:val="en-GB"/>
        </w:rPr>
        <w:t xml:space="preserve"> </w:t>
      </w:r>
      <w:r>
        <w:rPr>
          <w:b/>
          <w:color w:val="1F497D" w:themeColor="text2"/>
          <w:sz w:val="48"/>
          <w:szCs w:val="48"/>
          <w:lang w:val="en-GB"/>
        </w:rPr>
        <w:br/>
      </w:r>
      <w:r>
        <w:rPr>
          <w:color w:val="1F497D" w:themeColor="text2"/>
          <w:sz w:val="32"/>
          <w:szCs w:val="32"/>
          <w:lang w:val="en-GB"/>
        </w:rPr>
        <w:br/>
        <w:t xml:space="preserve">Capacity Building Committee </w:t>
      </w:r>
    </w:p>
    <w:p w:rsidR="00495A20" w:rsidRDefault="00913DDA" w:rsidP="00FC3544">
      <w:pPr>
        <w:pStyle w:val="Rubrik"/>
        <w:spacing w:line="300" w:lineRule="atLeast"/>
        <w:jc w:val="center"/>
        <w:rPr>
          <w:color w:val="1F497D" w:themeColor="text2"/>
          <w:sz w:val="32"/>
          <w:szCs w:val="32"/>
          <w:lang w:val="en-GB"/>
        </w:rPr>
      </w:pPr>
      <w:r>
        <w:rPr>
          <w:color w:val="1F497D" w:themeColor="text2"/>
          <w:sz w:val="32"/>
          <w:szCs w:val="32"/>
          <w:lang w:val="en-GB"/>
        </w:rPr>
        <w:t>Capetown 3-5 October</w:t>
      </w:r>
    </w:p>
    <w:p w:rsidR="00913DDA" w:rsidRPr="00913DDA" w:rsidRDefault="00913DDA" w:rsidP="00913DDA">
      <w:pPr>
        <w:rPr>
          <w:lang w:val="en-GB"/>
        </w:rPr>
      </w:pPr>
    </w:p>
    <w:p w:rsidR="006C19CE" w:rsidRDefault="00F82F5C" w:rsidP="006C19CE">
      <w:pPr>
        <w:spacing w:after="0" w:line="300" w:lineRule="atLeast"/>
        <w:rPr>
          <w:lang w:val="en-GB"/>
        </w:rPr>
      </w:pPr>
      <w:r w:rsidRPr="00791BA3">
        <w:rPr>
          <w:rFonts w:asciiTheme="majorHAnsi" w:hAnsiTheme="majorHAnsi"/>
          <w:b/>
          <w:color w:val="1F497D" w:themeColor="text2"/>
          <w:sz w:val="28"/>
          <w:szCs w:val="28"/>
          <w:lang w:val="en-GB"/>
        </w:rPr>
        <w:t>1.</w:t>
      </w:r>
      <w:r w:rsidR="00AB5737" w:rsidRPr="00791BA3">
        <w:rPr>
          <w:rFonts w:asciiTheme="majorHAnsi" w:hAnsiTheme="majorHAnsi"/>
          <w:b/>
          <w:color w:val="1F497D" w:themeColor="text2"/>
          <w:sz w:val="28"/>
          <w:szCs w:val="28"/>
          <w:lang w:val="en-GB"/>
        </w:rPr>
        <w:t xml:space="preserve"> </w:t>
      </w:r>
      <w:r w:rsidR="00AB7027" w:rsidRPr="00791BA3">
        <w:rPr>
          <w:rFonts w:asciiTheme="majorHAnsi" w:hAnsiTheme="majorHAnsi"/>
          <w:b/>
          <w:color w:val="1F497D" w:themeColor="text2"/>
          <w:sz w:val="28"/>
          <w:szCs w:val="28"/>
          <w:lang w:val="en-GB"/>
        </w:rPr>
        <w:t>Introduction</w:t>
      </w:r>
      <w:r w:rsidR="003241AB">
        <w:rPr>
          <w:rFonts w:asciiTheme="majorHAnsi" w:hAnsiTheme="majorHAnsi"/>
          <w:b/>
          <w:color w:val="1F497D" w:themeColor="text2"/>
          <w:sz w:val="28"/>
          <w:szCs w:val="28"/>
          <w:lang w:val="en-GB"/>
        </w:rPr>
        <w:br/>
      </w:r>
      <w:r w:rsidR="00F45958">
        <w:rPr>
          <w:lang w:val="en-GB"/>
        </w:rPr>
        <w:t>F</w:t>
      </w:r>
      <w:r w:rsidR="00CF055A">
        <w:rPr>
          <w:lang w:val="en-GB"/>
        </w:rPr>
        <w:t>ollowing the adoption of IntoSAINT a</w:t>
      </w:r>
      <w:r w:rsidR="00CF055A" w:rsidRPr="00CF055A">
        <w:rPr>
          <w:lang w:val="en-GB"/>
        </w:rPr>
        <w:t xml:space="preserve">t XXI INCOSAI in Beijng in 2013 </w:t>
      </w:r>
      <w:r w:rsidR="00CF055A">
        <w:rPr>
          <w:lang w:val="en-GB"/>
        </w:rPr>
        <w:t xml:space="preserve">the </w:t>
      </w:r>
      <w:r w:rsidR="00495A20">
        <w:rPr>
          <w:lang w:val="en-GB"/>
        </w:rPr>
        <w:t xml:space="preserve">Capacity Building Committee (CBC) </w:t>
      </w:r>
      <w:r w:rsidR="00F45958">
        <w:rPr>
          <w:lang w:val="en-GB"/>
        </w:rPr>
        <w:t xml:space="preserve">decided </w:t>
      </w:r>
      <w:r w:rsidR="008E461D">
        <w:rPr>
          <w:lang w:val="en-GB"/>
        </w:rPr>
        <w:t xml:space="preserve">in </w:t>
      </w:r>
      <w:r w:rsidR="00030BDD" w:rsidRPr="00F82F5C">
        <w:rPr>
          <w:lang w:val="en-GB"/>
        </w:rPr>
        <w:t>Lima</w:t>
      </w:r>
      <w:r w:rsidR="008E461D">
        <w:rPr>
          <w:lang w:val="en-GB"/>
        </w:rPr>
        <w:t xml:space="preserve"> (2014)</w:t>
      </w:r>
      <w:r w:rsidR="00D8653C">
        <w:rPr>
          <w:lang w:val="en-GB"/>
        </w:rPr>
        <w:t xml:space="preserve"> </w:t>
      </w:r>
      <w:r w:rsidR="00E856B1">
        <w:rPr>
          <w:lang w:val="en-GB"/>
        </w:rPr>
        <w:t xml:space="preserve">to </w:t>
      </w:r>
      <w:r w:rsidR="001D61B7">
        <w:rPr>
          <w:lang w:val="en-GB"/>
        </w:rPr>
        <w:t>take</w:t>
      </w:r>
      <w:r w:rsidR="00E856B1">
        <w:rPr>
          <w:lang w:val="en-GB"/>
        </w:rPr>
        <w:t xml:space="preserve"> </w:t>
      </w:r>
      <w:r w:rsidR="004843E3">
        <w:rPr>
          <w:lang w:val="en-GB"/>
        </w:rPr>
        <w:t xml:space="preserve">ownership and </w:t>
      </w:r>
      <w:r w:rsidR="00E856B1">
        <w:rPr>
          <w:lang w:val="en-GB"/>
        </w:rPr>
        <w:t>responsib</w:t>
      </w:r>
      <w:r w:rsidR="001D61B7">
        <w:rPr>
          <w:lang w:val="en-GB"/>
        </w:rPr>
        <w:t xml:space="preserve">ility </w:t>
      </w:r>
      <w:r w:rsidR="00E856B1">
        <w:rPr>
          <w:lang w:val="en-GB"/>
        </w:rPr>
        <w:t>for the</w:t>
      </w:r>
      <w:r w:rsidR="00ED628F">
        <w:rPr>
          <w:lang w:val="en-GB"/>
        </w:rPr>
        <w:t xml:space="preserve"> implementation and </w:t>
      </w:r>
      <w:r w:rsidR="00A91ADC">
        <w:rPr>
          <w:lang w:val="en-GB"/>
        </w:rPr>
        <w:t xml:space="preserve">updating (maintenance) </w:t>
      </w:r>
      <w:r w:rsidR="00ED628F">
        <w:rPr>
          <w:lang w:val="en-GB"/>
        </w:rPr>
        <w:t xml:space="preserve">of the </w:t>
      </w:r>
      <w:r w:rsidR="00030BDD" w:rsidRPr="00F82F5C">
        <w:rPr>
          <w:lang w:val="en-GB"/>
        </w:rPr>
        <w:t>IntoSAINT</w:t>
      </w:r>
      <w:r w:rsidR="00ED628F">
        <w:rPr>
          <w:lang w:val="en-GB"/>
        </w:rPr>
        <w:t xml:space="preserve"> instrument</w:t>
      </w:r>
      <w:r w:rsidR="00E856B1">
        <w:rPr>
          <w:lang w:val="en-GB"/>
        </w:rPr>
        <w:t>. T</w:t>
      </w:r>
      <w:r w:rsidR="00ED628F">
        <w:rPr>
          <w:lang w:val="en-GB"/>
        </w:rPr>
        <w:t>he CB</w:t>
      </w:r>
      <w:r w:rsidR="00E856B1">
        <w:rPr>
          <w:lang w:val="en-GB"/>
        </w:rPr>
        <w:t xml:space="preserve">C </w:t>
      </w:r>
      <w:r w:rsidR="0020221A">
        <w:rPr>
          <w:lang w:val="en-GB"/>
        </w:rPr>
        <w:t>included</w:t>
      </w:r>
      <w:r w:rsidR="00E856B1">
        <w:rPr>
          <w:lang w:val="en-GB"/>
        </w:rPr>
        <w:t xml:space="preserve"> the roll-out of IntoSAINT</w:t>
      </w:r>
      <w:r w:rsidR="00030BDD" w:rsidRPr="00F82F5C">
        <w:rPr>
          <w:lang w:val="en-GB"/>
        </w:rPr>
        <w:t xml:space="preserve"> in its work programme</w:t>
      </w:r>
      <w:r w:rsidR="004F1216" w:rsidRPr="00F82F5C">
        <w:rPr>
          <w:lang w:val="en-GB"/>
        </w:rPr>
        <w:t xml:space="preserve"> and </w:t>
      </w:r>
      <w:r w:rsidR="00ED628F">
        <w:rPr>
          <w:lang w:val="en-GB"/>
        </w:rPr>
        <w:t>will</w:t>
      </w:r>
      <w:r w:rsidR="004F1216" w:rsidRPr="00F82F5C">
        <w:rPr>
          <w:lang w:val="en-GB"/>
        </w:rPr>
        <w:t xml:space="preserve"> promote IntoSAINT as a capacity development tool</w:t>
      </w:r>
      <w:r w:rsidR="00D45A7E" w:rsidRPr="00F82F5C">
        <w:rPr>
          <w:lang w:val="en-GB"/>
        </w:rPr>
        <w:t xml:space="preserve">. </w:t>
      </w:r>
      <w:r w:rsidR="00077FB2">
        <w:rPr>
          <w:lang w:val="en-GB"/>
        </w:rPr>
        <w:t xml:space="preserve"> </w:t>
      </w:r>
    </w:p>
    <w:p w:rsidR="006C19CE" w:rsidRPr="00077FB2" w:rsidRDefault="006C19CE" w:rsidP="006C19CE">
      <w:pPr>
        <w:spacing w:after="0" w:line="300" w:lineRule="atLeast"/>
        <w:rPr>
          <w:lang w:val="en-US"/>
        </w:rPr>
      </w:pPr>
    </w:p>
    <w:p w:rsidR="00070DA1" w:rsidRDefault="006C19CE" w:rsidP="00880861">
      <w:pPr>
        <w:spacing w:after="0" w:line="300" w:lineRule="atLeast"/>
        <w:rPr>
          <w:lang w:val="en-US"/>
        </w:rPr>
      </w:pPr>
      <w:r>
        <w:rPr>
          <w:lang w:val="en-US"/>
        </w:rPr>
        <w:t>T</w:t>
      </w:r>
      <w:r w:rsidR="00077FB2" w:rsidRPr="00077FB2">
        <w:rPr>
          <w:lang w:val="en-US"/>
        </w:rPr>
        <w:t>h</w:t>
      </w:r>
      <w:r w:rsidR="00077FB2">
        <w:rPr>
          <w:lang w:val="en-US"/>
        </w:rPr>
        <w:t xml:space="preserve">e </w:t>
      </w:r>
      <w:r>
        <w:rPr>
          <w:lang w:val="en-US"/>
        </w:rPr>
        <w:t xml:space="preserve">IntoSAINT workstream </w:t>
      </w:r>
      <w:r w:rsidR="007954DF">
        <w:rPr>
          <w:lang w:val="en-US"/>
        </w:rPr>
        <w:t>has focused on the three</w:t>
      </w:r>
      <w:r w:rsidR="00077FB2" w:rsidRPr="00077FB2">
        <w:rPr>
          <w:lang w:val="en-US"/>
        </w:rPr>
        <w:t xml:space="preserve"> </w:t>
      </w:r>
      <w:r w:rsidR="00077FB2">
        <w:rPr>
          <w:lang w:val="en-US"/>
        </w:rPr>
        <w:t xml:space="preserve">IntoSAINT objectives </w:t>
      </w:r>
      <w:r w:rsidR="00077FB2" w:rsidRPr="00077FB2">
        <w:rPr>
          <w:lang w:val="en-US"/>
        </w:rPr>
        <w:t>of the CBC.</w:t>
      </w:r>
      <w:r w:rsidR="00880861">
        <w:rPr>
          <w:lang w:val="en-US"/>
        </w:rPr>
        <w:t xml:space="preserve"> The coordinator</w:t>
      </w:r>
      <w:r w:rsidR="00880861" w:rsidRPr="00030BDD">
        <w:rPr>
          <w:lang w:val="en-US"/>
        </w:rPr>
        <w:t xml:space="preserve"> of the</w:t>
      </w:r>
      <w:r w:rsidR="00880861">
        <w:rPr>
          <w:lang w:val="en-US"/>
        </w:rPr>
        <w:t xml:space="preserve"> project group is</w:t>
      </w:r>
      <w:r w:rsidR="00880861" w:rsidRPr="00030BDD">
        <w:rPr>
          <w:lang w:val="en-US"/>
        </w:rPr>
        <w:t xml:space="preserve"> The Netherlands Court of Audit</w:t>
      </w:r>
      <w:r w:rsidR="00880861">
        <w:rPr>
          <w:lang w:val="en-US"/>
        </w:rPr>
        <w:t xml:space="preserve"> (NCA)</w:t>
      </w:r>
      <w:r w:rsidR="00880861" w:rsidRPr="00030BDD">
        <w:rPr>
          <w:lang w:val="en-US"/>
        </w:rPr>
        <w:t>. Members of the group are</w:t>
      </w:r>
      <w:r w:rsidR="00880861">
        <w:rPr>
          <w:lang w:val="en-US"/>
        </w:rPr>
        <w:t>:</w:t>
      </w:r>
      <w:r w:rsidR="00E170E1">
        <w:rPr>
          <w:lang w:val="en-US"/>
        </w:rPr>
        <w:t xml:space="preserve"> </w:t>
      </w:r>
      <w:r w:rsidR="00880861" w:rsidRPr="00030BDD">
        <w:rPr>
          <w:lang w:val="en-US"/>
        </w:rPr>
        <w:t xml:space="preserve"> the European Union</w:t>
      </w:r>
      <w:r w:rsidR="00880861">
        <w:rPr>
          <w:lang w:val="en-US"/>
        </w:rPr>
        <w:t xml:space="preserve"> (ECA)</w:t>
      </w:r>
      <w:r w:rsidR="00880861" w:rsidRPr="00030BDD">
        <w:rPr>
          <w:lang w:val="en-US"/>
        </w:rPr>
        <w:t>, Indonesia (link to ASEANSAI and ASOSAI), Mexico (link to WGVBS and OL</w:t>
      </w:r>
      <w:r w:rsidR="00E170E1">
        <w:rPr>
          <w:lang w:val="en-US"/>
        </w:rPr>
        <w:t>ACEFS)</w:t>
      </w:r>
      <w:r w:rsidR="00880861" w:rsidRPr="00030BDD">
        <w:rPr>
          <w:lang w:val="en-US"/>
        </w:rPr>
        <w:t>,T</w:t>
      </w:r>
      <w:r w:rsidR="00880861">
        <w:rPr>
          <w:lang w:val="en-US"/>
        </w:rPr>
        <w:t>unisia (ARABOSAI)</w:t>
      </w:r>
      <w:r w:rsidR="00880861" w:rsidRPr="00030BDD">
        <w:rPr>
          <w:lang w:val="en-US"/>
        </w:rPr>
        <w:t xml:space="preserve">, AFROSAI-E, </w:t>
      </w:r>
      <w:r w:rsidR="00880861">
        <w:rPr>
          <w:lang w:val="en-US"/>
        </w:rPr>
        <w:t xml:space="preserve">CREFIAF </w:t>
      </w:r>
      <w:r w:rsidR="00880861" w:rsidRPr="00030BDD">
        <w:rPr>
          <w:lang w:val="en-US"/>
        </w:rPr>
        <w:t xml:space="preserve">and IDI. </w:t>
      </w:r>
    </w:p>
    <w:p w:rsidR="00880861" w:rsidRDefault="00880861" w:rsidP="00880861">
      <w:pPr>
        <w:spacing w:after="0" w:line="300" w:lineRule="atLeast"/>
        <w:rPr>
          <w:lang w:val="en-US"/>
        </w:rPr>
      </w:pPr>
    </w:p>
    <w:p w:rsidR="00880861" w:rsidRDefault="00880861" w:rsidP="00880861">
      <w:pPr>
        <w:spacing w:after="0" w:line="300" w:lineRule="atLeast"/>
        <w:rPr>
          <w:lang w:val="en-US"/>
        </w:rPr>
      </w:pPr>
      <w:r>
        <w:rPr>
          <w:lang w:val="en-US"/>
        </w:rPr>
        <w:t>The working method is via virtual meetings every four-6 weeks,  and that of a Community of Practice on the INTOSAI KSC platform,  sharing experiences and dilemmas and coordinating activities.</w:t>
      </w:r>
    </w:p>
    <w:p w:rsidR="00880861" w:rsidRDefault="00880861" w:rsidP="00FC3544">
      <w:pPr>
        <w:spacing w:after="0" w:line="300" w:lineRule="atLeast"/>
        <w:rPr>
          <w:lang w:val="en-US"/>
        </w:rPr>
      </w:pPr>
    </w:p>
    <w:p w:rsidR="003365F6" w:rsidRDefault="00077FB2" w:rsidP="00FC3544">
      <w:pPr>
        <w:spacing w:after="0" w:line="300" w:lineRule="atLeast"/>
        <w:rPr>
          <w:lang w:val="en-US"/>
        </w:rPr>
      </w:pPr>
      <w:r>
        <w:rPr>
          <w:lang w:val="en-US"/>
        </w:rPr>
        <w:t xml:space="preserve"> </w:t>
      </w:r>
      <w:r w:rsidR="00E856B1">
        <w:rPr>
          <w:lang w:val="en-US"/>
        </w:rPr>
        <w:t xml:space="preserve">In </w:t>
      </w:r>
      <w:r w:rsidR="0020221A">
        <w:rPr>
          <w:lang w:val="en-US"/>
        </w:rPr>
        <w:t>the following</w:t>
      </w:r>
      <w:r w:rsidR="00E856B1">
        <w:rPr>
          <w:lang w:val="en-US"/>
        </w:rPr>
        <w:t xml:space="preserve"> </w:t>
      </w:r>
      <w:r w:rsidR="0020221A">
        <w:rPr>
          <w:lang w:val="en-US"/>
        </w:rPr>
        <w:t>paper</w:t>
      </w:r>
      <w:r w:rsidR="007954DF">
        <w:rPr>
          <w:lang w:val="en-US"/>
        </w:rPr>
        <w:t xml:space="preserve"> we sum up</w:t>
      </w:r>
      <w:r w:rsidR="00E856B1">
        <w:rPr>
          <w:lang w:val="en-US"/>
        </w:rPr>
        <w:t xml:space="preserve"> </w:t>
      </w:r>
      <w:r w:rsidR="00ED628F">
        <w:rPr>
          <w:lang w:val="en-US"/>
        </w:rPr>
        <w:t>the progress</w:t>
      </w:r>
      <w:r>
        <w:rPr>
          <w:lang w:val="en-US"/>
        </w:rPr>
        <w:t xml:space="preserve"> </w:t>
      </w:r>
      <w:r w:rsidR="00CC49C9">
        <w:rPr>
          <w:lang w:val="en-US"/>
        </w:rPr>
        <w:t>made until now</w:t>
      </w:r>
      <w:r>
        <w:rPr>
          <w:lang w:val="en-US"/>
        </w:rPr>
        <w:t>.</w:t>
      </w:r>
      <w:r w:rsidR="004843E3">
        <w:rPr>
          <w:lang w:val="en-US"/>
        </w:rPr>
        <w:t xml:space="preserve"> </w:t>
      </w:r>
      <w:r w:rsidR="008C06E7">
        <w:rPr>
          <w:lang w:val="en-US"/>
        </w:rPr>
        <w:t>At the end a number of</w:t>
      </w:r>
      <w:r w:rsidR="002723EC">
        <w:rPr>
          <w:lang w:val="en-US"/>
        </w:rPr>
        <w:t xml:space="preserve"> issues requiring advice or decisions by the CBC Steering Committee</w:t>
      </w:r>
      <w:r w:rsidR="007E79AE">
        <w:rPr>
          <w:lang w:val="en-US"/>
        </w:rPr>
        <w:t xml:space="preserve"> are presented</w:t>
      </w:r>
      <w:r w:rsidR="006C47F0">
        <w:rPr>
          <w:lang w:val="en-US"/>
        </w:rPr>
        <w:t>.</w:t>
      </w:r>
    </w:p>
    <w:p w:rsidR="008C06E7" w:rsidRDefault="008C06E7" w:rsidP="00FC3544">
      <w:pPr>
        <w:spacing w:after="0" w:line="300" w:lineRule="atLeast"/>
        <w:rPr>
          <w:lang w:val="en-US"/>
        </w:rPr>
      </w:pPr>
    </w:p>
    <w:p w:rsidR="00ED628F" w:rsidRDefault="00ED628F" w:rsidP="00FC3544">
      <w:pPr>
        <w:spacing w:after="0" w:line="300" w:lineRule="atLeast"/>
        <w:rPr>
          <w:lang w:val="en-US"/>
        </w:rPr>
      </w:pPr>
    </w:p>
    <w:p w:rsidR="00C66042" w:rsidRPr="005A7889" w:rsidRDefault="00F82F5C" w:rsidP="00FC3544">
      <w:pPr>
        <w:spacing w:after="0" w:line="300" w:lineRule="atLeast"/>
        <w:rPr>
          <w:rFonts w:asciiTheme="majorHAnsi" w:hAnsiTheme="majorHAnsi"/>
          <w:b/>
          <w:color w:val="1F497D" w:themeColor="text2"/>
          <w:sz w:val="28"/>
          <w:szCs w:val="28"/>
          <w:lang w:val="en-GB"/>
        </w:rPr>
      </w:pPr>
      <w:r w:rsidRPr="005A7889">
        <w:rPr>
          <w:rFonts w:asciiTheme="majorHAnsi" w:hAnsiTheme="majorHAnsi"/>
          <w:b/>
          <w:color w:val="1F497D" w:themeColor="text2"/>
          <w:sz w:val="28"/>
          <w:szCs w:val="28"/>
          <w:lang w:val="en-GB"/>
        </w:rPr>
        <w:t>2.</w:t>
      </w:r>
      <w:r w:rsidR="00A80269" w:rsidRPr="005A7889">
        <w:rPr>
          <w:rFonts w:asciiTheme="majorHAnsi" w:hAnsiTheme="majorHAnsi"/>
          <w:b/>
          <w:color w:val="1F497D" w:themeColor="text2"/>
          <w:sz w:val="28"/>
          <w:szCs w:val="28"/>
          <w:lang w:val="en-GB"/>
        </w:rPr>
        <w:t xml:space="preserve"> </w:t>
      </w:r>
      <w:r w:rsidR="00822EC3" w:rsidRPr="005A7889">
        <w:rPr>
          <w:rFonts w:asciiTheme="majorHAnsi" w:hAnsiTheme="majorHAnsi"/>
          <w:b/>
          <w:color w:val="1F497D" w:themeColor="text2"/>
          <w:sz w:val="28"/>
          <w:szCs w:val="28"/>
          <w:lang w:val="en-GB"/>
        </w:rPr>
        <w:t xml:space="preserve">Objective </w:t>
      </w:r>
      <w:r w:rsidR="007E79AE">
        <w:rPr>
          <w:rFonts w:asciiTheme="majorHAnsi" w:hAnsiTheme="majorHAnsi"/>
          <w:b/>
          <w:color w:val="1F497D" w:themeColor="text2"/>
          <w:sz w:val="28"/>
          <w:szCs w:val="28"/>
          <w:lang w:val="en-GB"/>
        </w:rPr>
        <w:t xml:space="preserve">of the </w:t>
      </w:r>
      <w:r w:rsidR="007954DF">
        <w:rPr>
          <w:rFonts w:asciiTheme="majorHAnsi" w:hAnsiTheme="majorHAnsi"/>
          <w:b/>
          <w:color w:val="1F497D" w:themeColor="text2"/>
          <w:sz w:val="28"/>
          <w:szCs w:val="28"/>
          <w:lang w:val="en-GB"/>
        </w:rPr>
        <w:t>CBC IntoSAINT workstream</w:t>
      </w:r>
      <w:r w:rsidR="00A21A45" w:rsidRPr="00A21A45">
        <w:rPr>
          <w:rFonts w:asciiTheme="majorHAnsi" w:hAnsiTheme="majorHAnsi"/>
          <w:b/>
          <w:color w:val="1F497D" w:themeColor="text2"/>
          <w:sz w:val="28"/>
          <w:szCs w:val="28"/>
          <w:lang w:val="en-GB"/>
        </w:rPr>
        <w:t xml:space="preserve">  </w:t>
      </w:r>
    </w:p>
    <w:p w:rsidR="00077FB2" w:rsidRDefault="00671F06" w:rsidP="00FC3544">
      <w:pPr>
        <w:spacing w:after="0" w:line="300" w:lineRule="atLeast"/>
        <w:rPr>
          <w:lang w:val="en-US"/>
        </w:rPr>
      </w:pPr>
      <w:r w:rsidRPr="00030BDD">
        <w:rPr>
          <w:lang w:val="en-US"/>
        </w:rPr>
        <w:t>The overall aim</w:t>
      </w:r>
      <w:r w:rsidR="00077FB2">
        <w:rPr>
          <w:lang w:val="en-US"/>
        </w:rPr>
        <w:t xml:space="preserve"> of the </w:t>
      </w:r>
      <w:r w:rsidR="00880861">
        <w:rPr>
          <w:lang w:val="en-US"/>
        </w:rPr>
        <w:t>workstream</w:t>
      </w:r>
      <w:r w:rsidR="00A21A45">
        <w:rPr>
          <w:lang w:val="en-US"/>
        </w:rPr>
        <w:t xml:space="preserve"> </w:t>
      </w:r>
      <w:r w:rsidRPr="00030BDD">
        <w:rPr>
          <w:lang w:val="en-US"/>
        </w:rPr>
        <w:t>is the institutionalization of IntoSAINT within INTOSAI structures</w:t>
      </w:r>
      <w:r w:rsidR="00077FB2">
        <w:rPr>
          <w:lang w:val="en-US"/>
        </w:rPr>
        <w:t xml:space="preserve"> and programmes</w:t>
      </w:r>
      <w:r w:rsidRPr="00030BDD">
        <w:rPr>
          <w:lang w:val="en-US"/>
        </w:rPr>
        <w:t xml:space="preserve"> by </w:t>
      </w:r>
      <w:r>
        <w:rPr>
          <w:lang w:val="en-US"/>
        </w:rPr>
        <w:t xml:space="preserve">the end of </w:t>
      </w:r>
      <w:r w:rsidRPr="00030BDD">
        <w:rPr>
          <w:lang w:val="en-US"/>
        </w:rPr>
        <w:t>2016.</w:t>
      </w:r>
    </w:p>
    <w:p w:rsidR="00077FB2" w:rsidRDefault="00077FB2" w:rsidP="00FC3544">
      <w:pPr>
        <w:spacing w:after="0" w:line="300" w:lineRule="atLeast"/>
        <w:rPr>
          <w:lang w:val="en-US"/>
        </w:rPr>
      </w:pPr>
    </w:p>
    <w:p w:rsidR="00F82F5C" w:rsidRPr="00030BDD" w:rsidRDefault="00D26D9B" w:rsidP="00FC3544">
      <w:pPr>
        <w:spacing w:after="0" w:line="300" w:lineRule="atLeast"/>
        <w:rPr>
          <w:lang w:val="en-US"/>
        </w:rPr>
      </w:pPr>
      <w:r w:rsidRPr="00030BDD">
        <w:rPr>
          <w:lang w:val="en-US"/>
        </w:rPr>
        <w:t>Th</w:t>
      </w:r>
      <w:r w:rsidR="008C06E7">
        <w:rPr>
          <w:lang w:val="en-US"/>
        </w:rPr>
        <w:t xml:space="preserve">e members of the project group </w:t>
      </w:r>
      <w:r>
        <w:rPr>
          <w:lang w:val="en-US"/>
        </w:rPr>
        <w:t xml:space="preserve">have </w:t>
      </w:r>
      <w:r w:rsidRPr="00030BDD">
        <w:rPr>
          <w:lang w:val="en-US"/>
        </w:rPr>
        <w:t>each take</w:t>
      </w:r>
      <w:r>
        <w:rPr>
          <w:lang w:val="en-US"/>
        </w:rPr>
        <w:t>n</w:t>
      </w:r>
      <w:r w:rsidRPr="00030BDD">
        <w:rPr>
          <w:lang w:val="en-US"/>
        </w:rPr>
        <w:t xml:space="preserve"> r</w:t>
      </w:r>
      <w:r>
        <w:rPr>
          <w:lang w:val="en-US"/>
        </w:rPr>
        <w:t>esponsibility for a region, to e</w:t>
      </w:r>
      <w:r w:rsidRPr="00030BDD">
        <w:rPr>
          <w:lang w:val="en-US"/>
        </w:rPr>
        <w:t xml:space="preserve">nsure that all </w:t>
      </w:r>
      <w:r>
        <w:rPr>
          <w:lang w:val="en-US"/>
        </w:rPr>
        <w:t xml:space="preserve">INTOSAI </w:t>
      </w:r>
      <w:r w:rsidRPr="00030BDD">
        <w:rPr>
          <w:lang w:val="en-US"/>
        </w:rPr>
        <w:t>regions are connected to the IntoSAINT roll-out.</w:t>
      </w:r>
      <w:r w:rsidR="00077FB2">
        <w:rPr>
          <w:lang w:val="en-US"/>
        </w:rPr>
        <w:t xml:space="preserve"> </w:t>
      </w:r>
      <w:r w:rsidR="00425C57">
        <w:rPr>
          <w:lang w:val="en-US"/>
        </w:rPr>
        <w:t xml:space="preserve">They </w:t>
      </w:r>
      <w:r>
        <w:rPr>
          <w:lang w:val="en-US"/>
        </w:rPr>
        <w:t xml:space="preserve">agreed to recommend </w:t>
      </w:r>
      <w:r w:rsidRPr="00030BDD">
        <w:rPr>
          <w:lang w:val="en-US"/>
        </w:rPr>
        <w:t xml:space="preserve"> </w:t>
      </w:r>
      <w:r>
        <w:rPr>
          <w:lang w:val="en-US"/>
        </w:rPr>
        <w:t xml:space="preserve">the following </w:t>
      </w:r>
      <w:r w:rsidR="007E79AE">
        <w:rPr>
          <w:lang w:val="en-US"/>
        </w:rPr>
        <w:t xml:space="preserve">package </w:t>
      </w:r>
      <w:r w:rsidRPr="00030BDD">
        <w:rPr>
          <w:lang w:val="en-US"/>
        </w:rPr>
        <w:t xml:space="preserve">as a minimum </w:t>
      </w:r>
      <w:r>
        <w:rPr>
          <w:lang w:val="en-US"/>
        </w:rPr>
        <w:t xml:space="preserve">target for the </w:t>
      </w:r>
      <w:r w:rsidRPr="00030BDD">
        <w:rPr>
          <w:lang w:val="en-US"/>
        </w:rPr>
        <w:t>involvement for each region</w:t>
      </w:r>
      <w:r>
        <w:rPr>
          <w:lang w:val="en-US"/>
        </w:rPr>
        <w:t xml:space="preserve"> by INCOSAI 2016</w:t>
      </w:r>
      <w:r w:rsidRPr="00030BDD">
        <w:rPr>
          <w:lang w:val="en-US"/>
        </w:rPr>
        <w:t>:</w:t>
      </w:r>
    </w:p>
    <w:p w:rsidR="00D26D9B" w:rsidRPr="00030BDD" w:rsidRDefault="00D26D9B" w:rsidP="00FC3544">
      <w:pPr>
        <w:numPr>
          <w:ilvl w:val="0"/>
          <w:numId w:val="1"/>
        </w:numPr>
        <w:spacing w:after="0" w:line="300" w:lineRule="atLeast"/>
        <w:contextualSpacing/>
        <w:rPr>
          <w:lang w:val="en-US"/>
        </w:rPr>
      </w:pPr>
      <w:r w:rsidRPr="00030BDD">
        <w:rPr>
          <w:lang w:val="en-US"/>
        </w:rPr>
        <w:t>a moderator training for their members</w:t>
      </w:r>
    </w:p>
    <w:p w:rsidR="00D26D9B" w:rsidRPr="00030BDD" w:rsidRDefault="00D26D9B" w:rsidP="00FC3544">
      <w:pPr>
        <w:numPr>
          <w:ilvl w:val="0"/>
          <w:numId w:val="1"/>
        </w:numPr>
        <w:spacing w:after="0" w:line="300" w:lineRule="atLeast"/>
        <w:contextualSpacing/>
        <w:rPr>
          <w:lang w:val="en-US"/>
        </w:rPr>
      </w:pPr>
      <w:r w:rsidRPr="00030BDD">
        <w:rPr>
          <w:lang w:val="en-US"/>
        </w:rPr>
        <w:t>a minimum of 25% of the region’s member SAIs that did</w:t>
      </w:r>
      <w:r w:rsidR="006D4211">
        <w:rPr>
          <w:lang w:val="en-US"/>
        </w:rPr>
        <w:t xml:space="preserve"> </w:t>
      </w:r>
      <w:r>
        <w:rPr>
          <w:lang w:val="en-US"/>
        </w:rPr>
        <w:t>have done</w:t>
      </w:r>
      <w:r w:rsidRPr="00030BDD">
        <w:rPr>
          <w:lang w:val="en-US"/>
        </w:rPr>
        <w:t xml:space="preserve"> the </w:t>
      </w:r>
      <w:r w:rsidR="00F82F5C" w:rsidRPr="00030BDD">
        <w:rPr>
          <w:lang w:val="en-US"/>
        </w:rPr>
        <w:t>self-assessment</w:t>
      </w:r>
    </w:p>
    <w:p w:rsidR="00D26D9B" w:rsidRPr="00030BDD" w:rsidRDefault="00D26D9B" w:rsidP="00FC3544">
      <w:pPr>
        <w:numPr>
          <w:ilvl w:val="0"/>
          <w:numId w:val="1"/>
        </w:numPr>
        <w:spacing w:after="0" w:line="300" w:lineRule="atLeast"/>
        <w:contextualSpacing/>
        <w:rPr>
          <w:lang w:val="en-US"/>
        </w:rPr>
      </w:pPr>
      <w:r w:rsidRPr="00030BDD">
        <w:rPr>
          <w:lang w:val="en-US"/>
        </w:rPr>
        <w:t xml:space="preserve">a regional lessons-learned meeting early </w:t>
      </w:r>
      <w:r>
        <w:rPr>
          <w:lang w:val="en-US"/>
        </w:rPr>
        <w:t xml:space="preserve">in </w:t>
      </w:r>
      <w:r w:rsidRPr="00030BDD">
        <w:rPr>
          <w:lang w:val="en-US"/>
        </w:rPr>
        <w:t>2016</w:t>
      </w:r>
    </w:p>
    <w:p w:rsidR="00D26D9B" w:rsidRPr="00030BDD" w:rsidRDefault="00D26D9B" w:rsidP="00FC3544">
      <w:pPr>
        <w:numPr>
          <w:ilvl w:val="0"/>
          <w:numId w:val="1"/>
        </w:numPr>
        <w:spacing w:after="0" w:line="300" w:lineRule="atLeast"/>
        <w:contextualSpacing/>
        <w:rPr>
          <w:lang w:val="en-US"/>
        </w:rPr>
      </w:pPr>
      <w:r w:rsidRPr="00030BDD">
        <w:rPr>
          <w:lang w:val="en-US"/>
        </w:rPr>
        <w:t>a designated regional IntoSAINT focal point</w:t>
      </w:r>
    </w:p>
    <w:p w:rsidR="00D26D9B" w:rsidRPr="00030BDD" w:rsidRDefault="00D26D9B" w:rsidP="00FC3544">
      <w:pPr>
        <w:numPr>
          <w:ilvl w:val="0"/>
          <w:numId w:val="1"/>
        </w:numPr>
        <w:spacing w:after="0" w:line="300" w:lineRule="atLeast"/>
        <w:contextualSpacing/>
        <w:rPr>
          <w:lang w:val="en-US"/>
        </w:rPr>
      </w:pPr>
      <w:r w:rsidRPr="00030BDD">
        <w:rPr>
          <w:lang w:val="en-US"/>
        </w:rPr>
        <w:t>a donor that provides funding for training and  the application of IntoSAINT in developing countries</w:t>
      </w:r>
      <w:r w:rsidR="00F82F5C">
        <w:rPr>
          <w:lang w:val="en-US"/>
        </w:rPr>
        <w:br/>
      </w:r>
    </w:p>
    <w:p w:rsidR="00EE0D08" w:rsidRPr="00DA3F04" w:rsidRDefault="00791BA3" w:rsidP="00FC3544">
      <w:pPr>
        <w:spacing w:line="300" w:lineRule="atLeast"/>
        <w:rPr>
          <w:rFonts w:eastAsiaTheme="majorEastAsia" w:cstheme="majorBidi"/>
          <w:b/>
          <w:bCs/>
          <w:lang w:val="en-GB"/>
        </w:rPr>
      </w:pPr>
      <w:r>
        <w:rPr>
          <w:bCs/>
          <w:lang w:val="en-GB"/>
        </w:rPr>
        <w:br/>
      </w:r>
      <w:r w:rsidR="00FC3544">
        <w:rPr>
          <w:rFonts w:asciiTheme="majorHAnsi" w:eastAsiaTheme="majorEastAsia" w:hAnsiTheme="majorHAnsi" w:cstheme="majorBidi"/>
          <w:b/>
          <w:bCs/>
          <w:color w:val="1F497D" w:themeColor="text2"/>
          <w:sz w:val="28"/>
          <w:szCs w:val="28"/>
          <w:lang w:val="en-GB"/>
        </w:rPr>
        <w:br/>
      </w:r>
      <w:r w:rsidR="00A8184F">
        <w:rPr>
          <w:rFonts w:asciiTheme="majorHAnsi" w:eastAsiaTheme="majorEastAsia" w:hAnsiTheme="majorHAnsi" w:cstheme="majorBidi"/>
          <w:b/>
          <w:bCs/>
          <w:color w:val="1F497D" w:themeColor="text2"/>
          <w:sz w:val="28"/>
          <w:szCs w:val="28"/>
          <w:lang w:val="en-GB"/>
        </w:rPr>
        <w:lastRenderedPageBreak/>
        <w:br/>
      </w:r>
      <w:r w:rsidR="00F82F5C" w:rsidRPr="00791BA3">
        <w:rPr>
          <w:rFonts w:asciiTheme="majorHAnsi" w:eastAsiaTheme="majorEastAsia" w:hAnsiTheme="majorHAnsi" w:cstheme="majorBidi"/>
          <w:b/>
          <w:bCs/>
          <w:color w:val="1F497D" w:themeColor="text2"/>
          <w:sz w:val="28"/>
          <w:szCs w:val="28"/>
          <w:lang w:val="en-GB"/>
        </w:rPr>
        <w:t>3.</w:t>
      </w:r>
      <w:r w:rsidR="00A80269" w:rsidRPr="00791BA3">
        <w:rPr>
          <w:rFonts w:asciiTheme="majorHAnsi" w:eastAsiaTheme="majorEastAsia" w:hAnsiTheme="majorHAnsi" w:cstheme="majorBidi"/>
          <w:b/>
          <w:bCs/>
          <w:color w:val="1F497D" w:themeColor="text2"/>
          <w:sz w:val="28"/>
          <w:szCs w:val="28"/>
          <w:lang w:val="en-GB"/>
        </w:rPr>
        <w:t xml:space="preserve"> </w:t>
      </w:r>
      <w:r w:rsidR="00A80703" w:rsidRPr="00791BA3">
        <w:rPr>
          <w:rFonts w:asciiTheme="majorHAnsi" w:eastAsiaTheme="majorEastAsia" w:hAnsiTheme="majorHAnsi" w:cstheme="majorBidi"/>
          <w:b/>
          <w:bCs/>
          <w:color w:val="1F497D" w:themeColor="text2"/>
          <w:sz w:val="28"/>
          <w:szCs w:val="28"/>
          <w:lang w:val="en-GB"/>
        </w:rPr>
        <w:t xml:space="preserve">Results of the </w:t>
      </w:r>
      <w:r w:rsidR="009929BF" w:rsidRPr="009929BF">
        <w:rPr>
          <w:rFonts w:asciiTheme="majorHAnsi" w:eastAsiaTheme="majorEastAsia" w:hAnsiTheme="majorHAnsi" w:cstheme="majorBidi"/>
          <w:b/>
          <w:bCs/>
          <w:color w:val="1F497D" w:themeColor="text2"/>
          <w:sz w:val="28"/>
          <w:szCs w:val="28"/>
          <w:lang w:val="en-GB"/>
        </w:rPr>
        <w:t xml:space="preserve">CBC IntoSAINT project group  </w:t>
      </w:r>
      <w:r w:rsidR="00AB5737">
        <w:rPr>
          <w:rFonts w:asciiTheme="majorHAnsi" w:eastAsiaTheme="majorEastAsia" w:hAnsiTheme="majorHAnsi" w:cstheme="majorBidi"/>
          <w:b/>
          <w:bCs/>
          <w:color w:val="4F81BD" w:themeColor="accent1"/>
          <w:sz w:val="28"/>
          <w:szCs w:val="28"/>
          <w:lang w:val="en-GB"/>
        </w:rPr>
        <w:br/>
      </w:r>
      <w:r w:rsidR="00921B0B">
        <w:rPr>
          <w:rFonts w:eastAsiaTheme="majorEastAsia" w:cstheme="majorBidi"/>
          <w:bCs/>
          <w:lang w:val="en-GB"/>
        </w:rPr>
        <w:t>The project group</w:t>
      </w:r>
      <w:r w:rsidR="002B3D07">
        <w:rPr>
          <w:rFonts w:eastAsiaTheme="majorEastAsia" w:cstheme="majorBidi"/>
          <w:bCs/>
          <w:lang w:val="en-GB"/>
        </w:rPr>
        <w:t xml:space="preserve"> </w:t>
      </w:r>
      <w:r w:rsidR="00AB5737" w:rsidRPr="00D401D3">
        <w:rPr>
          <w:rFonts w:eastAsiaTheme="majorEastAsia" w:cstheme="majorBidi"/>
          <w:bCs/>
          <w:lang w:val="en-GB"/>
        </w:rPr>
        <w:t xml:space="preserve">has been working on the </w:t>
      </w:r>
      <w:r w:rsidR="00D401D3" w:rsidRPr="00D401D3">
        <w:rPr>
          <w:rFonts w:eastAsiaTheme="majorEastAsia" w:cstheme="majorBidi"/>
          <w:bCs/>
          <w:lang w:val="en-GB"/>
        </w:rPr>
        <w:t xml:space="preserve">three </w:t>
      </w:r>
      <w:r w:rsidR="00272A16">
        <w:rPr>
          <w:rFonts w:eastAsiaTheme="majorEastAsia" w:cstheme="majorBidi"/>
          <w:bCs/>
          <w:lang w:val="en-GB"/>
        </w:rPr>
        <w:t>initiatives of the CBC work plan</w:t>
      </w:r>
      <w:r w:rsidR="00CC49C9">
        <w:rPr>
          <w:rFonts w:eastAsiaTheme="majorEastAsia" w:cstheme="majorBidi"/>
          <w:bCs/>
          <w:lang w:val="en-GB"/>
        </w:rPr>
        <w:t xml:space="preserve">. The results until now </w:t>
      </w:r>
      <w:r w:rsidR="00A43C38">
        <w:rPr>
          <w:rFonts w:eastAsiaTheme="majorEastAsia" w:cstheme="majorBidi"/>
          <w:bCs/>
          <w:lang w:val="en-GB"/>
        </w:rPr>
        <w:t>are</w:t>
      </w:r>
      <w:r w:rsidR="00CC49C9">
        <w:rPr>
          <w:rFonts w:eastAsiaTheme="majorEastAsia" w:cstheme="majorBidi"/>
          <w:bCs/>
          <w:lang w:val="en-GB"/>
        </w:rPr>
        <w:t xml:space="preserve"> summarized below:</w:t>
      </w:r>
      <w:r w:rsidR="00BD65FD">
        <w:rPr>
          <w:rFonts w:eastAsiaTheme="majorEastAsia" w:cstheme="majorBidi"/>
          <w:bCs/>
          <w:lang w:val="en-GB"/>
        </w:rPr>
        <w:br/>
      </w:r>
      <w:r w:rsidR="00AB5737" w:rsidRPr="00D401D3">
        <w:rPr>
          <w:rFonts w:eastAsiaTheme="majorEastAsia" w:cstheme="majorBidi"/>
          <w:bCs/>
          <w:lang w:val="en-GB"/>
        </w:rPr>
        <w:br/>
      </w:r>
      <w:r w:rsidR="00EE0D08" w:rsidRPr="00DA3F04">
        <w:rPr>
          <w:rFonts w:eastAsiaTheme="majorEastAsia" w:cstheme="majorBidi"/>
          <w:b/>
          <w:bCs/>
          <w:i/>
          <w:lang w:val="en-GB"/>
        </w:rPr>
        <w:t xml:space="preserve">Objective 1: </w:t>
      </w:r>
      <w:r w:rsidR="00475101" w:rsidRPr="00DA3F04">
        <w:rPr>
          <w:rFonts w:eastAsiaTheme="majorEastAsia" w:cstheme="majorBidi"/>
          <w:b/>
          <w:bCs/>
          <w:i/>
          <w:lang w:val="en-GB"/>
        </w:rPr>
        <w:t>Promote IntoSAINT as a capacity development tool, and encourage the use and further development in support of the continuous development of integrity and accountability within the public sector in general and in SAIs in particular</w:t>
      </w:r>
      <w:r w:rsidR="000217CA" w:rsidRPr="00DA3F04">
        <w:rPr>
          <w:rFonts w:eastAsiaTheme="majorEastAsia" w:cstheme="majorBidi"/>
          <w:b/>
          <w:bCs/>
          <w:lang w:val="en-GB"/>
        </w:rPr>
        <w:t xml:space="preserve"> </w:t>
      </w:r>
    </w:p>
    <w:p w:rsidR="007E705B" w:rsidRDefault="00EE0D08" w:rsidP="00FC3544">
      <w:pPr>
        <w:pStyle w:val="Liststycke"/>
        <w:spacing w:line="300" w:lineRule="atLeast"/>
        <w:ind w:left="0"/>
        <w:rPr>
          <w:lang w:val="en-GB"/>
        </w:rPr>
      </w:pPr>
      <w:r>
        <w:rPr>
          <w:rFonts w:eastAsiaTheme="majorEastAsia" w:cstheme="majorBidi"/>
          <w:bCs/>
          <w:i/>
          <w:lang w:val="en-GB"/>
        </w:rPr>
        <w:t xml:space="preserve">Results </w:t>
      </w:r>
      <w:r w:rsidR="00110BF1">
        <w:rPr>
          <w:rFonts w:eastAsiaTheme="majorEastAsia" w:cstheme="majorBidi"/>
          <w:bCs/>
          <w:i/>
          <w:lang w:val="en-GB"/>
        </w:rPr>
        <w:t>and conclusions</w:t>
      </w:r>
      <w:r>
        <w:rPr>
          <w:rFonts w:eastAsiaTheme="majorEastAsia" w:cstheme="majorBidi"/>
          <w:bCs/>
          <w:i/>
          <w:lang w:val="en-GB"/>
        </w:rPr>
        <w:t>:</w:t>
      </w:r>
      <w:r w:rsidR="007E705B" w:rsidRPr="007E705B">
        <w:rPr>
          <w:lang w:val="en-GB"/>
        </w:rPr>
        <w:t xml:space="preserve"> </w:t>
      </w:r>
    </w:p>
    <w:p w:rsidR="00156A90" w:rsidRPr="00156A90" w:rsidRDefault="00E33683" w:rsidP="00FC3544">
      <w:pPr>
        <w:pStyle w:val="Liststycke"/>
        <w:numPr>
          <w:ilvl w:val="0"/>
          <w:numId w:val="25"/>
        </w:numPr>
        <w:spacing w:line="300" w:lineRule="atLeast"/>
        <w:rPr>
          <w:lang w:val="en-GB"/>
        </w:rPr>
      </w:pPr>
      <w:r w:rsidRPr="00156A90">
        <w:rPr>
          <w:lang w:val="en-GB"/>
        </w:rPr>
        <w:t xml:space="preserve">We have made good progress on this objective: </w:t>
      </w:r>
      <w:r w:rsidRPr="00156A90">
        <w:rPr>
          <w:lang w:val="en-US"/>
        </w:rPr>
        <w:t xml:space="preserve">A number of groups within INTOSAI are looking at issues of SAI ethics and integrity. Most importantly: IntoSAINT is now included as a tool within the new ISSAI 30 and in the SAI PMF. </w:t>
      </w:r>
      <w:r w:rsidR="00156A90" w:rsidRPr="00156A90">
        <w:rPr>
          <w:lang w:val="en-US"/>
        </w:rPr>
        <w:t xml:space="preserve">ISSAI 30 and SAI-PMF </w:t>
      </w:r>
      <w:r w:rsidR="00110BF1">
        <w:rPr>
          <w:lang w:val="en-US"/>
        </w:rPr>
        <w:t>provide a promising</w:t>
      </w:r>
      <w:r w:rsidR="00156A90" w:rsidRPr="00156A90">
        <w:rPr>
          <w:lang w:val="en-US"/>
        </w:rPr>
        <w:t xml:space="preserve"> framework for further proliferation of IntoSAINT and lessons learned </w:t>
      </w:r>
      <w:r w:rsidRPr="00156A90">
        <w:rPr>
          <w:lang w:val="en-US"/>
        </w:rPr>
        <w:t xml:space="preserve">from the IntoSAINT assessments in a continuous way. </w:t>
      </w:r>
    </w:p>
    <w:p w:rsidR="00B51F4C" w:rsidRDefault="00F7265B" w:rsidP="00B51F4C">
      <w:pPr>
        <w:pStyle w:val="Liststycke"/>
        <w:numPr>
          <w:ilvl w:val="0"/>
          <w:numId w:val="25"/>
        </w:numPr>
        <w:spacing w:after="0" w:line="300" w:lineRule="atLeast"/>
        <w:rPr>
          <w:lang w:val="en-GB"/>
        </w:rPr>
      </w:pPr>
      <w:r w:rsidRPr="00B51F4C">
        <w:rPr>
          <w:lang w:val="en-GB"/>
        </w:rPr>
        <w:t xml:space="preserve">Awareness raising within INTOSAI needs to be one of the priorities. Connection with ISSAI 30, SAI-PMF  and other INTOSAI tools offers and opportunity to keep integrity on the agenda with SAIs. </w:t>
      </w:r>
      <w:r w:rsidR="00110BF1">
        <w:rPr>
          <w:lang w:val="en-GB"/>
        </w:rPr>
        <w:t>Now we nee</w:t>
      </w:r>
      <w:r w:rsidR="000E2FAF">
        <w:rPr>
          <w:lang w:val="en-GB"/>
        </w:rPr>
        <w:t>d to strengthen</w:t>
      </w:r>
      <w:r w:rsidR="00B51F4C" w:rsidRPr="00B51F4C">
        <w:rPr>
          <w:lang w:val="en-GB"/>
        </w:rPr>
        <w:t xml:space="preserve"> alignment of IntoSAINT with other INTOSAI frameworks, especially SAI-PMF</w:t>
      </w:r>
      <w:r w:rsidR="00110BF1">
        <w:rPr>
          <w:lang w:val="en-GB"/>
        </w:rPr>
        <w:t xml:space="preserve"> and ISSAI-30</w:t>
      </w:r>
    </w:p>
    <w:p w:rsidR="00B51F4C" w:rsidRPr="00B51F4C" w:rsidRDefault="00B51F4C" w:rsidP="00B51F4C">
      <w:pPr>
        <w:pStyle w:val="Liststycke"/>
        <w:numPr>
          <w:ilvl w:val="0"/>
          <w:numId w:val="25"/>
        </w:numPr>
        <w:spacing w:after="0" w:line="300" w:lineRule="atLeast"/>
        <w:rPr>
          <w:lang w:val="en-GB"/>
        </w:rPr>
      </w:pPr>
      <w:r w:rsidRPr="00B51F4C">
        <w:rPr>
          <w:lang w:val="en-GB"/>
        </w:rPr>
        <w:t>SAIs can contribute to building a culture of integrity in public sector entities by stimulating and facilitating integrity self assessment, after setting the example. This needs to be part of a strategic approach, that can be supported by INTOSAI structures:</w:t>
      </w:r>
    </w:p>
    <w:p w:rsidR="00B51F4C" w:rsidRPr="00B51F4C" w:rsidRDefault="00B51F4C" w:rsidP="00B51F4C">
      <w:pPr>
        <w:pStyle w:val="Liststycke"/>
        <w:numPr>
          <w:ilvl w:val="1"/>
          <w:numId w:val="25"/>
        </w:numPr>
        <w:spacing w:after="0" w:line="300" w:lineRule="atLeast"/>
        <w:rPr>
          <w:lang w:val="en-GB"/>
        </w:rPr>
      </w:pPr>
      <w:r w:rsidRPr="00B51F4C">
        <w:rPr>
          <w:lang w:val="en-GB"/>
        </w:rPr>
        <w:t>Self assessment is more effective and efficient to detect control weaknesses than external audit and evaluation</w:t>
      </w:r>
    </w:p>
    <w:p w:rsidR="00B51F4C" w:rsidRPr="00B51F4C" w:rsidRDefault="00B51F4C" w:rsidP="00B51F4C">
      <w:pPr>
        <w:pStyle w:val="Liststycke"/>
        <w:numPr>
          <w:ilvl w:val="1"/>
          <w:numId w:val="25"/>
        </w:numPr>
        <w:spacing w:after="0" w:line="300" w:lineRule="atLeast"/>
        <w:rPr>
          <w:lang w:val="en-GB"/>
        </w:rPr>
      </w:pPr>
      <w:r w:rsidRPr="00B51F4C">
        <w:rPr>
          <w:lang w:val="en-GB"/>
        </w:rPr>
        <w:t>Surveys are efficient and effective methods to gather data and raise awareness</w:t>
      </w:r>
    </w:p>
    <w:p w:rsidR="00B51F4C" w:rsidRPr="00B51F4C" w:rsidRDefault="00B51F4C" w:rsidP="00B51F4C">
      <w:pPr>
        <w:pStyle w:val="Liststycke"/>
        <w:numPr>
          <w:ilvl w:val="1"/>
          <w:numId w:val="25"/>
        </w:numPr>
        <w:spacing w:after="0" w:line="300" w:lineRule="atLeast"/>
        <w:rPr>
          <w:lang w:val="en-GB"/>
        </w:rPr>
      </w:pPr>
      <w:r w:rsidRPr="00B51F4C">
        <w:rPr>
          <w:lang w:val="en-GB"/>
        </w:rPr>
        <w:t>IT-solutions can make the self assessments more efficient</w:t>
      </w:r>
    </w:p>
    <w:p w:rsidR="00CD5840" w:rsidRDefault="00B51F4C" w:rsidP="00B51F4C">
      <w:pPr>
        <w:pStyle w:val="Liststycke"/>
        <w:numPr>
          <w:ilvl w:val="1"/>
          <w:numId w:val="25"/>
        </w:numPr>
        <w:spacing w:after="0" w:line="300" w:lineRule="atLeast"/>
        <w:rPr>
          <w:lang w:val="en-GB"/>
        </w:rPr>
      </w:pPr>
      <w:r w:rsidRPr="00B51F4C">
        <w:rPr>
          <w:lang w:val="en-GB"/>
        </w:rPr>
        <w:t xml:space="preserve">SAIs need to look for a partner organization </w:t>
      </w:r>
      <w:r>
        <w:rPr>
          <w:lang w:val="en-GB"/>
        </w:rPr>
        <w:t xml:space="preserve">in their countries </w:t>
      </w:r>
      <w:r w:rsidRPr="00B51F4C">
        <w:rPr>
          <w:lang w:val="en-GB"/>
        </w:rPr>
        <w:t>that will ensure a sustainable implementation.</w:t>
      </w:r>
      <w:r w:rsidR="00CD5840" w:rsidRPr="00CD5840">
        <w:rPr>
          <w:lang w:val="en-GB"/>
        </w:rPr>
        <w:t xml:space="preserve"> </w:t>
      </w:r>
    </w:p>
    <w:p w:rsidR="00B51F4C" w:rsidRPr="00B51F4C" w:rsidRDefault="00CD5840" w:rsidP="00B51F4C">
      <w:pPr>
        <w:pStyle w:val="Liststycke"/>
        <w:numPr>
          <w:ilvl w:val="1"/>
          <w:numId w:val="25"/>
        </w:numPr>
        <w:spacing w:after="0" w:line="300" w:lineRule="atLeast"/>
        <w:rPr>
          <w:lang w:val="en-GB"/>
        </w:rPr>
      </w:pPr>
      <w:r>
        <w:rPr>
          <w:lang w:val="en-GB"/>
        </w:rPr>
        <w:t>However, there is still hardly any good experience with SAIs taking this approach.</w:t>
      </w:r>
    </w:p>
    <w:p w:rsidR="0012384C" w:rsidRDefault="0012384C" w:rsidP="00110BF1">
      <w:pPr>
        <w:pStyle w:val="Liststycke"/>
        <w:spacing w:after="0" w:line="300" w:lineRule="atLeast"/>
        <w:rPr>
          <w:lang w:val="en-GB"/>
        </w:rPr>
      </w:pPr>
    </w:p>
    <w:p w:rsidR="00E67AB4" w:rsidRPr="00DA3F04" w:rsidRDefault="00E67AB4" w:rsidP="00FC3544">
      <w:pPr>
        <w:spacing w:after="0" w:line="300" w:lineRule="atLeast"/>
        <w:rPr>
          <w:rFonts w:eastAsiaTheme="majorEastAsia" w:cstheme="majorBidi"/>
          <w:b/>
          <w:bCs/>
          <w:i/>
          <w:lang w:val="en-GB"/>
        </w:rPr>
      </w:pPr>
      <w:r>
        <w:rPr>
          <w:rFonts w:eastAsiaTheme="majorEastAsia" w:cstheme="majorBidi"/>
          <w:b/>
          <w:bCs/>
          <w:lang w:val="en-GB"/>
        </w:rPr>
        <w:br/>
      </w:r>
      <w:r w:rsidRPr="00DA3F04">
        <w:rPr>
          <w:rFonts w:eastAsiaTheme="majorEastAsia" w:cstheme="majorBidi"/>
          <w:b/>
          <w:bCs/>
          <w:i/>
          <w:lang w:val="en-GB"/>
        </w:rPr>
        <w:t xml:space="preserve">Objective </w:t>
      </w:r>
      <w:r w:rsidR="00475101" w:rsidRPr="00DA3F04">
        <w:rPr>
          <w:rFonts w:eastAsiaTheme="majorEastAsia" w:cstheme="majorBidi"/>
          <w:b/>
          <w:bCs/>
          <w:i/>
          <w:lang w:val="en-GB"/>
        </w:rPr>
        <w:t>2. Proposal for rolling out IntoSAINT instrument, moderator facilities and evaluation and follow-up system within all regions</w:t>
      </w:r>
    </w:p>
    <w:p w:rsidR="007376DE" w:rsidRDefault="007376DE" w:rsidP="00FC3544">
      <w:pPr>
        <w:spacing w:after="0" w:line="300" w:lineRule="atLeast"/>
        <w:rPr>
          <w:rFonts w:eastAsiaTheme="majorEastAsia" w:cstheme="majorBidi"/>
          <w:bCs/>
          <w:i/>
          <w:lang w:val="en-GB"/>
        </w:rPr>
      </w:pPr>
    </w:p>
    <w:p w:rsidR="007376DE" w:rsidRDefault="00110BF1" w:rsidP="00FC3544">
      <w:pPr>
        <w:spacing w:after="0" w:line="300" w:lineRule="atLeast"/>
        <w:rPr>
          <w:rFonts w:eastAsiaTheme="majorEastAsia" w:cstheme="majorBidi"/>
          <w:bCs/>
          <w:i/>
          <w:lang w:val="en-GB"/>
        </w:rPr>
      </w:pPr>
      <w:r>
        <w:rPr>
          <w:rFonts w:eastAsiaTheme="majorEastAsia" w:cstheme="majorBidi"/>
          <w:bCs/>
          <w:i/>
          <w:lang w:val="en-GB"/>
        </w:rPr>
        <w:t xml:space="preserve">Results and conclusions: </w:t>
      </w:r>
    </w:p>
    <w:p w:rsidR="001563DB" w:rsidRDefault="00110BF1" w:rsidP="00FC3544">
      <w:pPr>
        <w:pStyle w:val="Liststycke"/>
        <w:numPr>
          <w:ilvl w:val="0"/>
          <w:numId w:val="28"/>
        </w:numPr>
        <w:spacing w:after="0" w:line="300" w:lineRule="atLeast"/>
        <w:rPr>
          <w:rFonts w:eastAsiaTheme="majorEastAsia" w:cstheme="majorBidi"/>
          <w:bCs/>
          <w:lang w:val="en-GB"/>
        </w:rPr>
      </w:pPr>
      <w:r>
        <w:rPr>
          <w:rFonts w:eastAsiaTheme="majorEastAsia" w:cstheme="majorBidi"/>
          <w:bCs/>
          <w:lang w:val="en-GB"/>
        </w:rPr>
        <w:t>The progress in th</w:t>
      </w:r>
      <w:r w:rsidR="000E2FAF">
        <w:rPr>
          <w:rFonts w:eastAsiaTheme="majorEastAsia" w:cstheme="majorBidi"/>
          <w:bCs/>
          <w:lang w:val="en-GB"/>
        </w:rPr>
        <w:t>e regions has been limited</w:t>
      </w:r>
      <w:r>
        <w:rPr>
          <w:rFonts w:eastAsiaTheme="majorEastAsia" w:cstheme="majorBidi"/>
          <w:bCs/>
          <w:lang w:val="en-GB"/>
        </w:rPr>
        <w:t>. O</w:t>
      </w:r>
      <w:r w:rsidR="00FF3574">
        <w:rPr>
          <w:rFonts w:eastAsiaTheme="majorEastAsia" w:cstheme="majorBidi"/>
          <w:bCs/>
          <w:lang w:val="en-GB"/>
        </w:rPr>
        <w:t>n</w:t>
      </w:r>
      <w:r>
        <w:rPr>
          <w:rFonts w:eastAsiaTheme="majorEastAsia" w:cstheme="majorBidi"/>
          <w:bCs/>
          <w:lang w:val="en-GB"/>
        </w:rPr>
        <w:t xml:space="preserve">ly the OLACEFS region </w:t>
      </w:r>
      <w:r w:rsidR="00FF3574">
        <w:rPr>
          <w:rFonts w:eastAsiaTheme="majorEastAsia" w:cstheme="majorBidi"/>
          <w:bCs/>
          <w:lang w:val="en-GB"/>
        </w:rPr>
        <w:t xml:space="preserve">has obtained the minimum target as mentioned under 2. </w:t>
      </w:r>
    </w:p>
    <w:p w:rsidR="00110BF1" w:rsidRDefault="00FF3574" w:rsidP="00FC3544">
      <w:pPr>
        <w:pStyle w:val="Liststycke"/>
        <w:numPr>
          <w:ilvl w:val="0"/>
          <w:numId w:val="28"/>
        </w:numPr>
        <w:spacing w:after="0" w:line="300" w:lineRule="atLeast"/>
        <w:rPr>
          <w:rFonts w:eastAsiaTheme="majorEastAsia" w:cstheme="majorBidi"/>
          <w:bCs/>
          <w:lang w:val="en-GB"/>
        </w:rPr>
      </w:pPr>
      <w:r>
        <w:rPr>
          <w:rFonts w:eastAsiaTheme="majorEastAsia" w:cstheme="majorBidi"/>
          <w:bCs/>
          <w:lang w:val="en-GB"/>
        </w:rPr>
        <w:t xml:space="preserve">The success factor in this region is </w:t>
      </w:r>
      <w:r w:rsidR="001563DB">
        <w:rPr>
          <w:rFonts w:eastAsiaTheme="majorEastAsia" w:cstheme="majorBidi"/>
          <w:bCs/>
          <w:lang w:val="en-GB"/>
        </w:rPr>
        <w:t xml:space="preserve">that the roll-out of IntoSAINT is part of the regional strategic plan and </w:t>
      </w:r>
      <w:r w:rsidR="001563DB" w:rsidRPr="00E67AB4">
        <w:rPr>
          <w:rFonts w:eastAsiaTheme="majorEastAsia" w:cstheme="majorBidi"/>
          <w:bCs/>
          <w:lang w:val="en-GB"/>
        </w:rPr>
        <w:t xml:space="preserve"> approved by </w:t>
      </w:r>
      <w:r w:rsidR="001563DB">
        <w:rPr>
          <w:rFonts w:eastAsiaTheme="majorEastAsia" w:cstheme="majorBidi"/>
          <w:bCs/>
          <w:lang w:val="en-GB"/>
        </w:rPr>
        <w:t>and the responsibility of a regional executive committe</w:t>
      </w:r>
      <w:r w:rsidR="000E2FAF">
        <w:rPr>
          <w:rFonts w:eastAsiaTheme="majorEastAsia" w:cstheme="majorBidi"/>
          <w:bCs/>
          <w:lang w:val="en-GB"/>
        </w:rPr>
        <w:t>e and ther</w:t>
      </w:r>
      <w:r w:rsidR="00BD47EC">
        <w:rPr>
          <w:rFonts w:eastAsiaTheme="majorEastAsia" w:cstheme="majorBidi"/>
          <w:bCs/>
          <w:lang w:val="en-GB"/>
        </w:rPr>
        <w:t>e</w:t>
      </w:r>
      <w:r w:rsidR="000E2FAF">
        <w:rPr>
          <w:rFonts w:eastAsiaTheme="majorEastAsia" w:cstheme="majorBidi"/>
          <w:bCs/>
          <w:lang w:val="en-GB"/>
        </w:rPr>
        <w:t xml:space="preserve"> must be funding</w:t>
      </w:r>
      <w:r w:rsidR="00BD47EC">
        <w:rPr>
          <w:rFonts w:eastAsiaTheme="majorEastAsia" w:cstheme="majorBidi"/>
          <w:bCs/>
          <w:lang w:val="en-GB"/>
        </w:rPr>
        <w:t xml:space="preserve"> available.</w:t>
      </w:r>
      <w:r w:rsidR="001563DB">
        <w:rPr>
          <w:rFonts w:eastAsiaTheme="majorEastAsia" w:cstheme="majorBidi"/>
          <w:bCs/>
          <w:lang w:val="en-GB"/>
        </w:rPr>
        <w:t xml:space="preserve"> </w:t>
      </w:r>
      <w:r>
        <w:rPr>
          <w:rFonts w:eastAsiaTheme="majorEastAsia" w:cstheme="majorBidi"/>
          <w:bCs/>
          <w:lang w:val="en-GB"/>
        </w:rPr>
        <w:t>The OLACEFS experience can serve as a model for all other regions.</w:t>
      </w:r>
    </w:p>
    <w:p w:rsidR="00B53CC0" w:rsidRPr="00E67AB4" w:rsidRDefault="005704CF" w:rsidP="00FC3544">
      <w:pPr>
        <w:pStyle w:val="Liststycke"/>
        <w:numPr>
          <w:ilvl w:val="0"/>
          <w:numId w:val="26"/>
        </w:numPr>
        <w:spacing w:after="0" w:line="300" w:lineRule="atLeast"/>
        <w:rPr>
          <w:lang w:val="en-GB"/>
        </w:rPr>
      </w:pPr>
      <w:r>
        <w:rPr>
          <w:lang w:val="en-GB"/>
        </w:rPr>
        <w:t>The</w:t>
      </w:r>
      <w:r w:rsidR="00110BF1" w:rsidRPr="00110BF1">
        <w:rPr>
          <w:lang w:val="en-GB"/>
        </w:rPr>
        <w:t xml:space="preserve"> </w:t>
      </w:r>
      <w:r w:rsidR="00110BF1" w:rsidRPr="00EE0D08">
        <w:rPr>
          <w:lang w:val="en-GB"/>
        </w:rPr>
        <w:t xml:space="preserve">next step </w:t>
      </w:r>
      <w:r w:rsidR="00110BF1">
        <w:rPr>
          <w:lang w:val="en-GB"/>
        </w:rPr>
        <w:t>will be</w:t>
      </w:r>
      <w:r w:rsidR="00110BF1" w:rsidRPr="00EE0D08">
        <w:rPr>
          <w:lang w:val="en-GB"/>
        </w:rPr>
        <w:t xml:space="preserve"> to</w:t>
      </w:r>
      <w:r>
        <w:rPr>
          <w:lang w:val="en-GB"/>
        </w:rPr>
        <w:t xml:space="preserve"> develop a system to monitor and </w:t>
      </w:r>
      <w:r w:rsidR="00110BF1">
        <w:rPr>
          <w:lang w:val="en-GB"/>
        </w:rPr>
        <w:t xml:space="preserve">report on </w:t>
      </w:r>
      <w:r>
        <w:rPr>
          <w:lang w:val="en-GB"/>
        </w:rPr>
        <w:t xml:space="preserve">progress </w:t>
      </w:r>
      <w:r w:rsidR="00BD47EC">
        <w:rPr>
          <w:lang w:val="en-GB"/>
        </w:rPr>
        <w:t>after a workshop, both within a</w:t>
      </w:r>
      <w:r>
        <w:rPr>
          <w:lang w:val="en-GB"/>
        </w:rPr>
        <w:t xml:space="preserve"> SAI and within a region.</w:t>
      </w:r>
      <w:r w:rsidR="00B53CC0" w:rsidRPr="00E67AB4">
        <w:rPr>
          <w:rFonts w:eastAsiaTheme="majorEastAsia" w:cstheme="majorBidi"/>
          <w:bCs/>
          <w:lang w:val="en-GB"/>
        </w:rPr>
        <w:br/>
      </w:r>
    </w:p>
    <w:p w:rsidR="007376DE" w:rsidRPr="00DA3F04" w:rsidRDefault="007376DE" w:rsidP="00FC3544">
      <w:pPr>
        <w:spacing w:after="0" w:line="300" w:lineRule="atLeast"/>
        <w:rPr>
          <w:b/>
          <w:i/>
          <w:lang w:val="en-US"/>
        </w:rPr>
      </w:pPr>
      <w:r w:rsidRPr="00DA3F04">
        <w:rPr>
          <w:b/>
          <w:i/>
          <w:lang w:val="en-US"/>
        </w:rPr>
        <w:t xml:space="preserve">Objective </w:t>
      </w:r>
      <w:r w:rsidR="00EB14E0" w:rsidRPr="00DA3F04">
        <w:rPr>
          <w:b/>
          <w:i/>
          <w:lang w:val="en-US"/>
        </w:rPr>
        <w:t>3. Identifying best existing forum at international level for sharing experiences and updating the tool at regular intervals. Funding issue will also be addressed.</w:t>
      </w:r>
    </w:p>
    <w:p w:rsidR="007376DE" w:rsidRPr="00DA3F04" w:rsidRDefault="007376DE" w:rsidP="00FC3544">
      <w:pPr>
        <w:spacing w:after="0" w:line="300" w:lineRule="atLeast"/>
        <w:rPr>
          <w:b/>
          <w:lang w:val="en-US"/>
        </w:rPr>
      </w:pPr>
    </w:p>
    <w:p w:rsidR="007376DE" w:rsidRDefault="005704CF" w:rsidP="00FC3544">
      <w:pPr>
        <w:spacing w:after="0" w:line="300" w:lineRule="atLeast"/>
        <w:rPr>
          <w:i/>
          <w:lang w:val="en-US"/>
        </w:rPr>
      </w:pPr>
      <w:r>
        <w:rPr>
          <w:i/>
          <w:lang w:val="en-US"/>
        </w:rPr>
        <w:t>Results and conclusions</w:t>
      </w:r>
      <w:r w:rsidR="007376DE">
        <w:rPr>
          <w:i/>
          <w:lang w:val="en-US"/>
        </w:rPr>
        <w:t>:</w:t>
      </w:r>
    </w:p>
    <w:p w:rsidR="00FF1913" w:rsidRPr="00FF1913" w:rsidRDefault="00FF1913" w:rsidP="00FF1913">
      <w:pPr>
        <w:pStyle w:val="Liststycke"/>
        <w:numPr>
          <w:ilvl w:val="0"/>
          <w:numId w:val="27"/>
        </w:numPr>
        <w:spacing w:after="0" w:line="300" w:lineRule="atLeast"/>
        <w:rPr>
          <w:lang w:val="en-US"/>
        </w:rPr>
      </w:pPr>
      <w:r w:rsidRPr="00FF1913">
        <w:rPr>
          <w:lang w:val="en-US"/>
        </w:rPr>
        <w:t>IntoSAINT provides a common vocabulary</w:t>
      </w:r>
      <w:r>
        <w:rPr>
          <w:lang w:val="en-US"/>
        </w:rPr>
        <w:t xml:space="preserve"> on integrity</w:t>
      </w:r>
      <w:r w:rsidRPr="00FF1913">
        <w:rPr>
          <w:lang w:val="en-US"/>
        </w:rPr>
        <w:t xml:space="preserve"> that SAIs worldwide can use to share experiences. The added value of IntoSAINT must be clear. IntoSAINT shouldn’t compete with other instruments but demonstrably add value: mainstreaming the tool in SAI operations. </w:t>
      </w:r>
    </w:p>
    <w:p w:rsidR="00FF1913" w:rsidRPr="00B51F4C" w:rsidRDefault="00FF1913" w:rsidP="00FF1913">
      <w:pPr>
        <w:pStyle w:val="Liststycke"/>
        <w:numPr>
          <w:ilvl w:val="0"/>
          <w:numId w:val="27"/>
        </w:numPr>
        <w:spacing w:after="0" w:line="300" w:lineRule="atLeast"/>
        <w:rPr>
          <w:lang w:val="en-US"/>
        </w:rPr>
      </w:pPr>
      <w:r w:rsidRPr="00B51F4C">
        <w:rPr>
          <w:lang w:val="en-US"/>
        </w:rPr>
        <w:t>Instruments / institutions that can help to embed IntoSAINT</w:t>
      </w:r>
    </w:p>
    <w:p w:rsidR="00FF1913" w:rsidRPr="00B51F4C" w:rsidRDefault="00FF1913" w:rsidP="00C458C6">
      <w:pPr>
        <w:pStyle w:val="Liststycke"/>
        <w:numPr>
          <w:ilvl w:val="1"/>
          <w:numId w:val="27"/>
        </w:numPr>
        <w:spacing w:after="0" w:line="300" w:lineRule="atLeast"/>
        <w:rPr>
          <w:lang w:val="en-US"/>
        </w:rPr>
      </w:pPr>
      <w:r w:rsidRPr="00B51F4C">
        <w:rPr>
          <w:lang w:val="en-US"/>
        </w:rPr>
        <w:t>The updated version of ISSAI 30</w:t>
      </w:r>
    </w:p>
    <w:p w:rsidR="00FF1913" w:rsidRPr="00B51F4C" w:rsidRDefault="00FF1913" w:rsidP="00C458C6">
      <w:pPr>
        <w:pStyle w:val="Liststycke"/>
        <w:numPr>
          <w:ilvl w:val="1"/>
          <w:numId w:val="27"/>
        </w:numPr>
        <w:spacing w:after="0" w:line="300" w:lineRule="atLeast"/>
        <w:rPr>
          <w:lang w:val="en-US"/>
        </w:rPr>
      </w:pPr>
      <w:r w:rsidRPr="00B51F4C">
        <w:rPr>
          <w:lang w:val="en-US"/>
        </w:rPr>
        <w:t>SAI-PMF</w:t>
      </w:r>
    </w:p>
    <w:p w:rsidR="00315754" w:rsidRPr="00B51F4C" w:rsidRDefault="00315754" w:rsidP="00315754">
      <w:pPr>
        <w:pStyle w:val="Liststycke"/>
        <w:numPr>
          <w:ilvl w:val="1"/>
          <w:numId w:val="27"/>
        </w:numPr>
        <w:spacing w:after="0" w:line="300" w:lineRule="atLeast"/>
        <w:rPr>
          <w:lang w:val="en-US"/>
        </w:rPr>
      </w:pPr>
      <w:r w:rsidRPr="00B51F4C">
        <w:rPr>
          <w:lang w:val="en-US"/>
        </w:rPr>
        <w:t>IDI</w:t>
      </w:r>
    </w:p>
    <w:p w:rsidR="00FF1913" w:rsidRDefault="00FF1913" w:rsidP="00C458C6">
      <w:pPr>
        <w:pStyle w:val="Liststycke"/>
        <w:numPr>
          <w:ilvl w:val="1"/>
          <w:numId w:val="27"/>
        </w:numPr>
        <w:spacing w:after="0" w:line="300" w:lineRule="atLeast"/>
        <w:rPr>
          <w:lang w:val="en-US"/>
        </w:rPr>
      </w:pPr>
      <w:r w:rsidRPr="00B51F4C">
        <w:rPr>
          <w:lang w:val="en-US"/>
        </w:rPr>
        <w:t>Capacity building organizations</w:t>
      </w:r>
    </w:p>
    <w:p w:rsidR="00C458C6" w:rsidRPr="00315754" w:rsidRDefault="00C458C6" w:rsidP="00315754">
      <w:pPr>
        <w:pStyle w:val="Liststycke"/>
        <w:numPr>
          <w:ilvl w:val="0"/>
          <w:numId w:val="27"/>
        </w:numPr>
        <w:spacing w:after="0" w:line="300" w:lineRule="atLeast"/>
        <w:rPr>
          <w:lang w:val="en-US"/>
        </w:rPr>
      </w:pPr>
      <w:r w:rsidRPr="00315754">
        <w:rPr>
          <w:lang w:val="en-US"/>
        </w:rPr>
        <w:t xml:space="preserve">Funding is still haphazard and depends on regional or local donors. However, integrity is a subject that attracts donors. It is therefore relatively easy to get the training funded, </w:t>
      </w:r>
      <w:r w:rsidR="00315754" w:rsidRPr="00315754">
        <w:rPr>
          <w:lang w:val="en-US"/>
        </w:rPr>
        <w:t xml:space="preserve">and sometimes also the workshop, </w:t>
      </w:r>
      <w:r w:rsidRPr="00315754">
        <w:rPr>
          <w:lang w:val="en-US"/>
        </w:rPr>
        <w:t xml:space="preserve">but </w:t>
      </w:r>
      <w:r w:rsidR="00315754" w:rsidRPr="00315754">
        <w:rPr>
          <w:lang w:val="en-US"/>
        </w:rPr>
        <w:t>d</w:t>
      </w:r>
      <w:r w:rsidRPr="00315754">
        <w:rPr>
          <w:lang w:val="en-US"/>
        </w:rPr>
        <w:t>onors should also fund the implementa</w:t>
      </w:r>
      <w:r w:rsidR="00315754" w:rsidRPr="00315754">
        <w:rPr>
          <w:lang w:val="en-US"/>
        </w:rPr>
        <w:t>tion phase, after the workshop</w:t>
      </w:r>
      <w:r w:rsidRPr="00315754">
        <w:rPr>
          <w:lang w:val="en-US"/>
        </w:rPr>
        <w:t xml:space="preserve">. ISSAI 30 </w:t>
      </w:r>
      <w:r w:rsidR="00315754">
        <w:rPr>
          <w:lang w:val="en-US"/>
        </w:rPr>
        <w:t>and SAI PMF provide</w:t>
      </w:r>
      <w:r w:rsidRPr="00315754">
        <w:rPr>
          <w:lang w:val="en-US"/>
        </w:rPr>
        <w:t xml:space="preserve"> o</w:t>
      </w:r>
      <w:r w:rsidR="00315754">
        <w:rPr>
          <w:lang w:val="en-US"/>
        </w:rPr>
        <w:t>pportunities for donor support.</w:t>
      </w:r>
    </w:p>
    <w:p w:rsidR="005704CF" w:rsidRDefault="005704CF" w:rsidP="00FC3544">
      <w:pPr>
        <w:pStyle w:val="Liststycke"/>
        <w:numPr>
          <w:ilvl w:val="0"/>
          <w:numId w:val="27"/>
        </w:numPr>
        <w:spacing w:after="0" w:line="300" w:lineRule="atLeast"/>
        <w:rPr>
          <w:lang w:val="en-US"/>
        </w:rPr>
      </w:pPr>
      <w:r>
        <w:rPr>
          <w:lang w:val="en-US"/>
        </w:rPr>
        <w:t xml:space="preserve">IntoSAINT is now the responsibility of CBC. However, </w:t>
      </w:r>
      <w:r w:rsidR="00FF1913">
        <w:rPr>
          <w:lang w:val="en-US"/>
        </w:rPr>
        <w:t>considering the development of SAI-PMF and the close connection of IntoSAINT with this tool, the preferable forum to share exper</w:t>
      </w:r>
      <w:r w:rsidR="00315754">
        <w:rPr>
          <w:lang w:val="en-US"/>
        </w:rPr>
        <w:t>iences,</w:t>
      </w:r>
      <w:r w:rsidR="00FF1913">
        <w:rPr>
          <w:lang w:val="en-US"/>
        </w:rPr>
        <w:t xml:space="preserve"> update the tool </w:t>
      </w:r>
      <w:r w:rsidR="00315754">
        <w:rPr>
          <w:lang w:val="en-US"/>
        </w:rPr>
        <w:t xml:space="preserve">and look for donor support </w:t>
      </w:r>
      <w:r w:rsidR="00FF1913">
        <w:rPr>
          <w:lang w:val="en-US"/>
        </w:rPr>
        <w:t>will be the same as SAI-PMF</w:t>
      </w:r>
      <w:r w:rsidR="00315754">
        <w:rPr>
          <w:lang w:val="en-US"/>
        </w:rPr>
        <w:t>.</w:t>
      </w:r>
    </w:p>
    <w:p w:rsidR="00B51F4C" w:rsidRPr="007376DE" w:rsidRDefault="00B51F4C" w:rsidP="00C458C6">
      <w:pPr>
        <w:pStyle w:val="Liststycke"/>
        <w:spacing w:after="0" w:line="300" w:lineRule="atLeast"/>
        <w:rPr>
          <w:lang w:val="en-US"/>
        </w:rPr>
      </w:pPr>
    </w:p>
    <w:p w:rsidR="004F63F8" w:rsidRDefault="004F63F8" w:rsidP="00FC3544">
      <w:pPr>
        <w:spacing w:after="0" w:line="300" w:lineRule="atLeast"/>
        <w:rPr>
          <w:lang w:val="en-US"/>
        </w:rPr>
      </w:pPr>
    </w:p>
    <w:p w:rsidR="00C573F7" w:rsidRDefault="00EB14E0" w:rsidP="00FC3544">
      <w:pPr>
        <w:pStyle w:val="Rubrik2"/>
        <w:spacing w:line="300" w:lineRule="atLeast"/>
        <w:rPr>
          <w:color w:val="1F497D" w:themeColor="text2"/>
          <w:sz w:val="28"/>
          <w:szCs w:val="28"/>
          <w:lang w:val="en-GB"/>
        </w:rPr>
      </w:pPr>
      <w:r w:rsidRPr="00791BA3">
        <w:rPr>
          <w:color w:val="1F497D" w:themeColor="text2"/>
          <w:sz w:val="28"/>
          <w:szCs w:val="28"/>
          <w:lang w:val="en-GB"/>
        </w:rPr>
        <w:t>4.</w:t>
      </w:r>
      <w:r w:rsidR="008355D2" w:rsidRPr="00791BA3">
        <w:rPr>
          <w:color w:val="1F497D" w:themeColor="text2"/>
          <w:sz w:val="28"/>
          <w:szCs w:val="28"/>
          <w:lang w:val="en-GB"/>
        </w:rPr>
        <w:t xml:space="preserve"> </w:t>
      </w:r>
      <w:r w:rsidR="001C3F4C">
        <w:rPr>
          <w:color w:val="1F497D" w:themeColor="text2"/>
          <w:sz w:val="28"/>
          <w:szCs w:val="28"/>
          <w:lang w:val="en-GB"/>
        </w:rPr>
        <w:t>Recommendations</w:t>
      </w:r>
      <w:r w:rsidR="00EB7DE8">
        <w:rPr>
          <w:color w:val="1F497D" w:themeColor="text2"/>
          <w:sz w:val="28"/>
          <w:szCs w:val="28"/>
          <w:lang w:val="en-GB"/>
        </w:rPr>
        <w:t xml:space="preserve"> </w:t>
      </w:r>
      <w:r w:rsidR="00DE596B">
        <w:rPr>
          <w:color w:val="1F497D" w:themeColor="text2"/>
          <w:sz w:val="28"/>
          <w:szCs w:val="28"/>
          <w:lang w:val="en-GB"/>
        </w:rPr>
        <w:t>for</w:t>
      </w:r>
      <w:r w:rsidR="00DE596B" w:rsidRPr="00791BA3">
        <w:rPr>
          <w:color w:val="1F497D" w:themeColor="text2"/>
          <w:sz w:val="28"/>
          <w:szCs w:val="28"/>
          <w:lang w:val="en-GB"/>
        </w:rPr>
        <w:t xml:space="preserve"> </w:t>
      </w:r>
      <w:r w:rsidR="008355D2" w:rsidRPr="00791BA3">
        <w:rPr>
          <w:color w:val="1F497D" w:themeColor="text2"/>
          <w:sz w:val="28"/>
          <w:szCs w:val="28"/>
          <w:lang w:val="en-GB"/>
        </w:rPr>
        <w:t>the CB</w:t>
      </w:r>
      <w:r w:rsidR="00C573F7" w:rsidRPr="00791BA3">
        <w:rPr>
          <w:color w:val="1F497D" w:themeColor="text2"/>
          <w:sz w:val="28"/>
          <w:szCs w:val="28"/>
          <w:lang w:val="en-GB"/>
        </w:rPr>
        <w:t xml:space="preserve">C </w:t>
      </w:r>
      <w:r w:rsidR="00DE596B">
        <w:rPr>
          <w:color w:val="1F497D" w:themeColor="text2"/>
          <w:sz w:val="28"/>
          <w:szCs w:val="28"/>
          <w:lang w:val="en-GB"/>
        </w:rPr>
        <w:t>Steering Committee</w:t>
      </w:r>
    </w:p>
    <w:p w:rsidR="00070DA1" w:rsidRPr="00070DA1" w:rsidRDefault="00070DA1" w:rsidP="00070DA1">
      <w:pPr>
        <w:rPr>
          <w:lang w:val="en-GB"/>
        </w:rPr>
      </w:pPr>
    </w:p>
    <w:p w:rsidR="00407D86" w:rsidRDefault="00407D86" w:rsidP="004D3770">
      <w:pPr>
        <w:numPr>
          <w:ilvl w:val="0"/>
          <w:numId w:val="35"/>
        </w:numPr>
        <w:spacing w:line="300" w:lineRule="atLeast"/>
        <w:rPr>
          <w:lang w:val="en-US"/>
        </w:rPr>
      </w:pPr>
      <w:r>
        <w:rPr>
          <w:lang w:val="en-GB"/>
        </w:rPr>
        <w:t>Endorsement of the proposal for Mexico to take over the chair of the IntoSA</w:t>
      </w:r>
      <w:r w:rsidR="00BD47EC">
        <w:rPr>
          <w:lang w:val="en-GB"/>
        </w:rPr>
        <w:t>INT workstream from the Netherla</w:t>
      </w:r>
      <w:r>
        <w:rPr>
          <w:lang w:val="en-GB"/>
        </w:rPr>
        <w:t>nds</w:t>
      </w:r>
    </w:p>
    <w:p w:rsidR="004D3770" w:rsidRDefault="004D3770" w:rsidP="004D3770">
      <w:pPr>
        <w:numPr>
          <w:ilvl w:val="0"/>
          <w:numId w:val="35"/>
        </w:numPr>
        <w:spacing w:line="300" w:lineRule="atLeast"/>
        <w:rPr>
          <w:lang w:val="en-US"/>
        </w:rPr>
      </w:pPr>
      <w:r>
        <w:rPr>
          <w:lang w:val="en-US"/>
        </w:rPr>
        <w:t>INTOSAI needs a more strategic approach towards stimulating integrity of SAIs</w:t>
      </w:r>
      <w:r w:rsidR="00A375FC">
        <w:rPr>
          <w:lang w:val="en-US"/>
        </w:rPr>
        <w:t xml:space="preserve"> in a sustainable way</w:t>
      </w:r>
      <w:r>
        <w:rPr>
          <w:lang w:val="en-US"/>
        </w:rPr>
        <w:t xml:space="preserve">. ISSAI 30 and SAI PMF provide a promising basis for this. </w:t>
      </w:r>
      <w:r w:rsidR="00BD47EC">
        <w:rPr>
          <w:lang w:val="en-US"/>
        </w:rPr>
        <w:t>We propose CB</w:t>
      </w:r>
      <w:r w:rsidR="00D50F89">
        <w:rPr>
          <w:lang w:val="en-US"/>
        </w:rPr>
        <w:t>C to</w:t>
      </w:r>
      <w:r>
        <w:rPr>
          <w:lang w:val="en-US"/>
        </w:rPr>
        <w:t xml:space="preserve"> take the lead in connecting these capacity building tools</w:t>
      </w:r>
      <w:r w:rsidR="00AC6CE9">
        <w:rPr>
          <w:lang w:val="en-US"/>
        </w:rPr>
        <w:t xml:space="preserve"> through the regions</w:t>
      </w:r>
      <w:r w:rsidR="001C3F4C">
        <w:rPr>
          <w:lang w:val="en-US"/>
        </w:rPr>
        <w:t xml:space="preserve"> in its operational plans:</w:t>
      </w:r>
    </w:p>
    <w:p w:rsidR="00B839B7" w:rsidRDefault="00822A5F" w:rsidP="001C3F4C">
      <w:pPr>
        <w:numPr>
          <w:ilvl w:val="0"/>
          <w:numId w:val="35"/>
        </w:numPr>
        <w:spacing w:line="300" w:lineRule="atLeast"/>
        <w:ind w:left="1413"/>
        <w:rPr>
          <w:lang w:val="en-US"/>
        </w:rPr>
      </w:pPr>
      <w:r>
        <w:rPr>
          <w:lang w:val="en-US"/>
        </w:rPr>
        <w:t>Mainstreaming IntoSAINT in SAI operations should be the focus and goal. Connection with ISSAI 30 and</w:t>
      </w:r>
      <w:r w:rsidR="00B839B7" w:rsidRPr="00B839B7">
        <w:rPr>
          <w:lang w:val="en-US"/>
        </w:rPr>
        <w:t xml:space="preserve"> SAI-</w:t>
      </w:r>
      <w:r>
        <w:rPr>
          <w:lang w:val="en-US"/>
        </w:rPr>
        <w:t>PMF</w:t>
      </w:r>
      <w:r w:rsidR="00AC6CE9">
        <w:rPr>
          <w:lang w:val="en-US"/>
        </w:rPr>
        <w:t xml:space="preserve"> offers an</w:t>
      </w:r>
      <w:r w:rsidR="00B839B7" w:rsidRPr="00B839B7">
        <w:rPr>
          <w:lang w:val="en-US"/>
        </w:rPr>
        <w:t xml:space="preserve"> opportunity to </w:t>
      </w:r>
      <w:r>
        <w:rPr>
          <w:lang w:val="en-US"/>
        </w:rPr>
        <w:t xml:space="preserve">sustain awareness of the importance of integrity </w:t>
      </w:r>
      <w:r w:rsidR="00B839B7" w:rsidRPr="00B839B7">
        <w:rPr>
          <w:lang w:val="en-US"/>
        </w:rPr>
        <w:t xml:space="preserve"> SAIs.</w:t>
      </w:r>
    </w:p>
    <w:p w:rsidR="00C14E27" w:rsidRDefault="00B839B7" w:rsidP="001C3F4C">
      <w:pPr>
        <w:numPr>
          <w:ilvl w:val="0"/>
          <w:numId w:val="35"/>
        </w:numPr>
        <w:spacing w:line="300" w:lineRule="atLeast"/>
        <w:ind w:left="1413"/>
        <w:contextualSpacing/>
        <w:jc w:val="both"/>
        <w:rPr>
          <w:lang w:val="en-US"/>
        </w:rPr>
      </w:pPr>
      <w:r w:rsidRPr="00D50F89">
        <w:rPr>
          <w:lang w:val="en-US"/>
        </w:rPr>
        <w:t xml:space="preserve">Transferring  responsibility for role out in the regions needs ongoing attention. </w:t>
      </w:r>
      <w:r w:rsidR="001C3F4C">
        <w:rPr>
          <w:lang w:val="en-US"/>
        </w:rPr>
        <w:t>Develop as CBC a mechanism to monitor the roll-out, use and results of the tool in the</w:t>
      </w:r>
      <w:r w:rsidR="00417060">
        <w:rPr>
          <w:lang w:val="en-US"/>
        </w:rPr>
        <w:t xml:space="preserve"> regions / regional structures</w:t>
      </w:r>
      <w:r w:rsidR="005F6CC9">
        <w:rPr>
          <w:lang w:val="en-US"/>
        </w:rPr>
        <w:t xml:space="preserve"> and</w:t>
      </w:r>
      <w:r w:rsidR="00417060">
        <w:rPr>
          <w:lang w:val="en-US"/>
        </w:rPr>
        <w:t xml:space="preserve"> </w:t>
      </w:r>
      <w:r w:rsidR="005F6CC9">
        <w:rPr>
          <w:lang w:val="en-US"/>
        </w:rPr>
        <w:t xml:space="preserve">update of the tool </w:t>
      </w:r>
      <w:r w:rsidR="00417060">
        <w:rPr>
          <w:lang w:val="en-US"/>
        </w:rPr>
        <w:t>preferably in concordance with SAI PMF</w:t>
      </w:r>
      <w:r w:rsidR="009A1B71">
        <w:rPr>
          <w:lang w:val="en-US"/>
        </w:rPr>
        <w:t xml:space="preserve"> and IDI global survey.</w:t>
      </w:r>
    </w:p>
    <w:p w:rsidR="007E335D" w:rsidRDefault="007E335D" w:rsidP="007E335D">
      <w:pPr>
        <w:spacing w:line="300" w:lineRule="atLeast"/>
        <w:ind w:left="1413"/>
        <w:contextualSpacing/>
        <w:jc w:val="both"/>
        <w:rPr>
          <w:lang w:val="en-US"/>
        </w:rPr>
      </w:pPr>
    </w:p>
    <w:p w:rsidR="00A375FC" w:rsidRDefault="00D50F89" w:rsidP="001C3F4C">
      <w:pPr>
        <w:numPr>
          <w:ilvl w:val="0"/>
          <w:numId w:val="35"/>
        </w:numPr>
        <w:spacing w:line="300" w:lineRule="atLeast"/>
        <w:ind w:left="1413"/>
        <w:contextualSpacing/>
        <w:jc w:val="both"/>
        <w:rPr>
          <w:lang w:val="en-US"/>
        </w:rPr>
      </w:pPr>
      <w:r w:rsidRPr="00A375FC">
        <w:rPr>
          <w:lang w:val="en-US"/>
        </w:rPr>
        <w:t>Share experiences on good practices periodically from different regions, establishing a virtual</w:t>
      </w:r>
      <w:r w:rsidR="00B05A2F" w:rsidRPr="00A375FC">
        <w:rPr>
          <w:lang w:val="en-US"/>
        </w:rPr>
        <w:t xml:space="preserve"> channel for this</w:t>
      </w:r>
      <w:r w:rsidR="00417060">
        <w:rPr>
          <w:lang w:val="en-US"/>
        </w:rPr>
        <w:t xml:space="preserve">, in collaboration with the </w:t>
      </w:r>
      <w:r w:rsidR="00417060" w:rsidRPr="00A375FC">
        <w:rPr>
          <w:lang w:val="en-US"/>
        </w:rPr>
        <w:t>INTOSAI Knowledge Sharing Committee</w:t>
      </w:r>
    </w:p>
    <w:p w:rsidR="00B05A2F" w:rsidRPr="00D50F89" w:rsidRDefault="00B05A2F" w:rsidP="00417060">
      <w:pPr>
        <w:spacing w:line="300" w:lineRule="atLeast"/>
        <w:contextualSpacing/>
        <w:jc w:val="both"/>
        <w:rPr>
          <w:lang w:val="en-US"/>
        </w:rPr>
      </w:pPr>
    </w:p>
    <w:p w:rsidR="000F0A7E" w:rsidRDefault="00EB7DE8" w:rsidP="001C3F4C">
      <w:pPr>
        <w:numPr>
          <w:ilvl w:val="0"/>
          <w:numId w:val="35"/>
        </w:numPr>
        <w:spacing w:line="300" w:lineRule="atLeast"/>
        <w:ind w:left="1413"/>
        <w:rPr>
          <w:lang w:val="en-US"/>
        </w:rPr>
      </w:pPr>
      <w:r w:rsidRPr="00D50F89">
        <w:rPr>
          <w:lang w:val="en-US"/>
        </w:rPr>
        <w:t xml:space="preserve">Continue lobbying for </w:t>
      </w:r>
      <w:r w:rsidR="001C3F4C">
        <w:rPr>
          <w:lang w:val="en-US"/>
        </w:rPr>
        <w:t xml:space="preserve">SAIs to dedicate own budget as well as </w:t>
      </w:r>
      <w:r w:rsidRPr="00D50F89">
        <w:rPr>
          <w:lang w:val="en-US"/>
        </w:rPr>
        <w:t>donor support to fund the rollout of the IntoSAINT tool</w:t>
      </w:r>
      <w:r w:rsidR="004D3770" w:rsidRPr="00D50F89">
        <w:rPr>
          <w:lang w:val="en-US"/>
        </w:rPr>
        <w:t>, together with IDI</w:t>
      </w:r>
      <w:r w:rsidR="009A1B71">
        <w:rPr>
          <w:lang w:val="en-US"/>
        </w:rPr>
        <w:t>, e.g. within the  fraud and corruption programme</w:t>
      </w:r>
      <w:r w:rsidRPr="00D50F89">
        <w:rPr>
          <w:lang w:val="en-US"/>
        </w:rPr>
        <w:t>.</w:t>
      </w:r>
      <w:r w:rsidR="00B839B7" w:rsidRPr="00D50F89">
        <w:rPr>
          <w:lang w:val="en-US"/>
        </w:rPr>
        <w:t xml:space="preserve"> </w:t>
      </w:r>
      <w:r w:rsidR="000F0A7E">
        <w:rPr>
          <w:lang w:val="en-US"/>
        </w:rPr>
        <w:t xml:space="preserve">Extend donor funding to </w:t>
      </w:r>
      <w:r w:rsidRPr="00D50F89">
        <w:rPr>
          <w:lang w:val="en-US"/>
        </w:rPr>
        <w:t xml:space="preserve">the implementation phase, after the workshop, not only the workshop itself. </w:t>
      </w:r>
    </w:p>
    <w:p w:rsidR="0009767A" w:rsidRDefault="0009767A" w:rsidP="0009767A">
      <w:pPr>
        <w:pStyle w:val="Liststycke"/>
        <w:rPr>
          <w:lang w:val="en-US"/>
        </w:rPr>
      </w:pPr>
    </w:p>
    <w:p w:rsidR="0009767A" w:rsidRDefault="0009767A" w:rsidP="001C3F4C">
      <w:pPr>
        <w:numPr>
          <w:ilvl w:val="0"/>
          <w:numId w:val="35"/>
        </w:numPr>
        <w:spacing w:line="300" w:lineRule="atLeast"/>
        <w:ind w:left="1413"/>
        <w:rPr>
          <w:lang w:val="en-US"/>
        </w:rPr>
      </w:pPr>
      <w:r>
        <w:rPr>
          <w:lang w:val="en-US"/>
        </w:rPr>
        <w:t>Use the CBC website to show the added value of IntoSAINT, by publishing stories about SAI experiences with the tool.</w:t>
      </w:r>
    </w:p>
    <w:p w:rsidR="00FA2EAF" w:rsidRDefault="00FA2EAF" w:rsidP="000F0A7E">
      <w:pPr>
        <w:spacing w:line="300" w:lineRule="atLeast"/>
        <w:rPr>
          <w:lang w:val="en-US"/>
        </w:rPr>
      </w:pPr>
    </w:p>
    <w:p w:rsidR="001C3F4C" w:rsidRDefault="00E659A9" w:rsidP="00E659A9">
      <w:pPr>
        <w:pStyle w:val="Rubrik1"/>
        <w:rPr>
          <w:lang w:val="en-US"/>
        </w:rPr>
      </w:pPr>
      <w:r w:rsidRPr="00E659A9">
        <w:rPr>
          <w:bCs w:val="0"/>
          <w:lang w:val="en-US"/>
        </w:rPr>
        <w:t>5</w:t>
      </w:r>
      <w:r w:rsidRPr="00E659A9">
        <w:rPr>
          <w:b w:val="0"/>
          <w:bCs w:val="0"/>
          <w:lang w:val="en-US"/>
        </w:rPr>
        <w:t>.</w:t>
      </w:r>
      <w:r>
        <w:rPr>
          <w:lang w:val="en-US"/>
        </w:rPr>
        <w:t xml:space="preserve"> </w:t>
      </w:r>
      <w:r w:rsidR="007E335D">
        <w:rPr>
          <w:lang w:val="en-US"/>
        </w:rPr>
        <w:t xml:space="preserve">Proposed </w:t>
      </w:r>
      <w:r>
        <w:rPr>
          <w:lang w:val="en-US"/>
        </w:rPr>
        <w:t>new Workstream objectives</w:t>
      </w:r>
    </w:p>
    <w:p w:rsidR="00A375FC" w:rsidRDefault="00A375FC" w:rsidP="007E335D">
      <w:pPr>
        <w:pStyle w:val="Liststycke"/>
        <w:ind w:left="708"/>
        <w:rPr>
          <w:lang w:val="en-US"/>
        </w:rPr>
      </w:pPr>
    </w:p>
    <w:p w:rsidR="00A375FC" w:rsidRPr="00A375FC" w:rsidRDefault="00A375FC" w:rsidP="00A375FC">
      <w:pPr>
        <w:pStyle w:val="Liststycke"/>
        <w:numPr>
          <w:ilvl w:val="0"/>
          <w:numId w:val="36"/>
        </w:numPr>
        <w:rPr>
          <w:lang w:val="en-US"/>
        </w:rPr>
      </w:pPr>
      <w:r w:rsidRPr="00A375FC">
        <w:rPr>
          <w:lang w:val="en-US"/>
        </w:rPr>
        <w:t>Acceptance of IntoSAINT as a capacity-building tool among SAIs, and its worldwide application in order to strengthen integrity in SAIs and in the public sector.</w:t>
      </w:r>
    </w:p>
    <w:p w:rsidR="00A375FC" w:rsidRPr="00A375FC" w:rsidRDefault="00A375FC" w:rsidP="00A375FC">
      <w:pPr>
        <w:pStyle w:val="Liststycke"/>
        <w:numPr>
          <w:ilvl w:val="1"/>
          <w:numId w:val="36"/>
        </w:numPr>
        <w:rPr>
          <w:lang w:val="en-US"/>
        </w:rPr>
      </w:pPr>
      <w:r w:rsidRPr="00A375FC">
        <w:rPr>
          <w:lang w:val="en-US"/>
        </w:rPr>
        <w:t>Institutionalize the IntoSAINT tool in INTOSAI regions in order to take full advantage of the integrity capacity-building outcomes it offers.</w:t>
      </w:r>
    </w:p>
    <w:p w:rsidR="00A375FC" w:rsidRPr="00A375FC" w:rsidRDefault="00A375FC" w:rsidP="00A375FC">
      <w:pPr>
        <w:pStyle w:val="Liststycke"/>
        <w:numPr>
          <w:ilvl w:val="1"/>
          <w:numId w:val="36"/>
        </w:numPr>
        <w:rPr>
          <w:lang w:val="en-US"/>
        </w:rPr>
      </w:pPr>
      <w:r w:rsidRPr="00A375FC">
        <w:rPr>
          <w:lang w:val="en-US"/>
        </w:rPr>
        <w:t>Build ownership of the tool by SAIs in terms of training, maintenance, facilitation of regional community of practice, follow up and support in the long run.</w:t>
      </w:r>
    </w:p>
    <w:p w:rsidR="00A375FC" w:rsidRPr="00A375FC" w:rsidRDefault="00A375FC" w:rsidP="00A375FC">
      <w:pPr>
        <w:pStyle w:val="Liststycke"/>
        <w:ind w:left="708"/>
        <w:rPr>
          <w:lang w:val="en-US"/>
        </w:rPr>
      </w:pPr>
    </w:p>
    <w:p w:rsidR="00F92EB5" w:rsidRDefault="00F92EB5" w:rsidP="00A375FC">
      <w:pPr>
        <w:pStyle w:val="Liststycke"/>
        <w:ind w:left="1056"/>
        <w:rPr>
          <w:lang w:val="en-US"/>
        </w:rPr>
      </w:pPr>
    </w:p>
    <w:p w:rsidR="0009767A" w:rsidRPr="0009767A" w:rsidRDefault="00C24AF8" w:rsidP="00C24AF8">
      <w:pPr>
        <w:pStyle w:val="Liststycke"/>
        <w:ind w:left="360"/>
        <w:rPr>
          <w:lang w:val="en-US"/>
        </w:rPr>
      </w:pPr>
      <w:r>
        <w:rPr>
          <w:lang w:val="en-US"/>
        </w:rPr>
        <w:t>Specific priorities are:</w:t>
      </w:r>
      <w:bookmarkStart w:id="0" w:name="_GoBack"/>
      <w:bookmarkEnd w:id="0"/>
    </w:p>
    <w:p w:rsidR="00F92EB5" w:rsidRDefault="00F92EB5" w:rsidP="00586B7B">
      <w:pPr>
        <w:pStyle w:val="Liststycke"/>
        <w:numPr>
          <w:ilvl w:val="0"/>
          <w:numId w:val="36"/>
        </w:numPr>
        <w:rPr>
          <w:lang w:val="en-US"/>
        </w:rPr>
      </w:pPr>
      <w:r>
        <w:rPr>
          <w:lang w:val="en-US"/>
        </w:rPr>
        <w:t>Mainstreaming IntoSAINT in SAI operations</w:t>
      </w:r>
    </w:p>
    <w:p w:rsidR="00F92EB5" w:rsidRDefault="00F92EB5" w:rsidP="00586B7B">
      <w:pPr>
        <w:pStyle w:val="Liststycke"/>
        <w:numPr>
          <w:ilvl w:val="0"/>
          <w:numId w:val="36"/>
        </w:numPr>
        <w:rPr>
          <w:lang w:val="en-US"/>
        </w:rPr>
      </w:pPr>
      <w:r>
        <w:rPr>
          <w:lang w:val="en-US"/>
        </w:rPr>
        <w:t>Demonstrate added value by developing a monitoring system</w:t>
      </w:r>
    </w:p>
    <w:p w:rsidR="00F92EB5" w:rsidRDefault="00F92EB5" w:rsidP="00586B7B">
      <w:pPr>
        <w:pStyle w:val="Liststycke"/>
        <w:numPr>
          <w:ilvl w:val="0"/>
          <w:numId w:val="36"/>
        </w:numPr>
        <w:rPr>
          <w:lang w:val="en-US"/>
        </w:rPr>
      </w:pPr>
      <w:r>
        <w:rPr>
          <w:lang w:val="en-US"/>
        </w:rPr>
        <w:t xml:space="preserve">Connect the regional </w:t>
      </w:r>
      <w:r w:rsidR="00586B7B">
        <w:rPr>
          <w:lang w:val="en-US"/>
        </w:rPr>
        <w:t>activities</w:t>
      </w:r>
      <w:r>
        <w:rPr>
          <w:lang w:val="en-US"/>
        </w:rPr>
        <w:t xml:space="preserve"> to</w:t>
      </w:r>
      <w:r w:rsidR="0009767A">
        <w:rPr>
          <w:lang w:val="en-US"/>
        </w:rPr>
        <w:t xml:space="preserve"> implementing ISSAI 30 and </w:t>
      </w:r>
      <w:r>
        <w:rPr>
          <w:lang w:val="en-US"/>
        </w:rPr>
        <w:t xml:space="preserve"> IDI fraud and corruption programme and SAI PMF</w:t>
      </w:r>
    </w:p>
    <w:p w:rsidR="00586B7B" w:rsidRDefault="00586B7B" w:rsidP="00F92EB5">
      <w:pPr>
        <w:pStyle w:val="Liststycke"/>
        <w:ind w:left="708"/>
        <w:rPr>
          <w:lang w:val="en-US"/>
        </w:rPr>
      </w:pPr>
    </w:p>
    <w:p w:rsidR="00F92EB5" w:rsidRDefault="00F92EB5" w:rsidP="00F92EB5">
      <w:pPr>
        <w:pStyle w:val="Liststycke"/>
        <w:ind w:left="708"/>
        <w:rPr>
          <w:lang w:val="en-US"/>
        </w:rPr>
      </w:pPr>
    </w:p>
    <w:p w:rsidR="00C24AF8" w:rsidRPr="00A375FC" w:rsidRDefault="00C24AF8" w:rsidP="00C24AF8">
      <w:pPr>
        <w:pStyle w:val="Liststycke"/>
        <w:ind w:left="708"/>
        <w:rPr>
          <w:lang w:val="en-US"/>
        </w:rPr>
      </w:pPr>
      <w:r w:rsidRPr="00A375FC">
        <w:rPr>
          <w:lang w:val="en-US"/>
        </w:rPr>
        <w:t>Build on what has been achieved in INTOSAI structures and programmes:</w:t>
      </w:r>
    </w:p>
    <w:p w:rsidR="00C24AF8" w:rsidRPr="00A375FC" w:rsidRDefault="00C24AF8" w:rsidP="00C24AF8">
      <w:pPr>
        <w:pStyle w:val="Liststycke"/>
        <w:numPr>
          <w:ilvl w:val="0"/>
          <w:numId w:val="36"/>
        </w:numPr>
        <w:ind w:left="1068"/>
        <w:rPr>
          <w:lang w:val="en-US"/>
        </w:rPr>
      </w:pPr>
      <w:r w:rsidRPr="00A375FC">
        <w:rPr>
          <w:lang w:val="en-US"/>
        </w:rPr>
        <w:t>ISSAI 12 “The Value and Benefits of SAIs - making a difference to the life of citizens”</w:t>
      </w:r>
    </w:p>
    <w:p w:rsidR="00C24AF8" w:rsidRPr="00A375FC" w:rsidRDefault="00C24AF8" w:rsidP="00C24AF8">
      <w:pPr>
        <w:pStyle w:val="Liststycke"/>
        <w:numPr>
          <w:ilvl w:val="0"/>
          <w:numId w:val="36"/>
        </w:numPr>
        <w:ind w:left="1068"/>
        <w:rPr>
          <w:lang w:val="en-US"/>
        </w:rPr>
      </w:pPr>
      <w:r w:rsidRPr="00A375FC">
        <w:rPr>
          <w:lang w:val="en-US"/>
        </w:rPr>
        <w:t>ISSAI 30 “Code of Ethics”</w:t>
      </w:r>
    </w:p>
    <w:p w:rsidR="00C24AF8" w:rsidRPr="00A375FC" w:rsidRDefault="00C24AF8" w:rsidP="00C24AF8">
      <w:pPr>
        <w:pStyle w:val="Liststycke"/>
        <w:numPr>
          <w:ilvl w:val="0"/>
          <w:numId w:val="36"/>
        </w:numPr>
        <w:ind w:left="1068"/>
        <w:rPr>
          <w:lang w:val="en-US"/>
        </w:rPr>
      </w:pPr>
      <w:r w:rsidRPr="00A375FC">
        <w:rPr>
          <w:lang w:val="en-US"/>
        </w:rPr>
        <w:t>Supreme Audit Institutions Performance Measurement Framework (SAI-PMF)</w:t>
      </w:r>
    </w:p>
    <w:p w:rsidR="00C24AF8" w:rsidRPr="00A375FC" w:rsidRDefault="00C24AF8" w:rsidP="00C24AF8">
      <w:pPr>
        <w:pStyle w:val="Liststycke"/>
        <w:numPr>
          <w:ilvl w:val="0"/>
          <w:numId w:val="36"/>
        </w:numPr>
        <w:ind w:left="1068"/>
        <w:rPr>
          <w:lang w:val="en-US"/>
        </w:rPr>
      </w:pPr>
      <w:r w:rsidRPr="00A375FC">
        <w:rPr>
          <w:lang w:val="en-US"/>
        </w:rPr>
        <w:t>INTOSAI Strategic Plan</w:t>
      </w:r>
    </w:p>
    <w:p w:rsidR="00C24AF8" w:rsidRPr="00A375FC" w:rsidRDefault="00C24AF8" w:rsidP="00C24AF8">
      <w:pPr>
        <w:pStyle w:val="Liststycke"/>
        <w:numPr>
          <w:ilvl w:val="0"/>
          <w:numId w:val="36"/>
        </w:numPr>
        <w:ind w:left="1068"/>
        <w:rPr>
          <w:lang w:val="en-US"/>
        </w:rPr>
      </w:pPr>
      <w:r w:rsidRPr="00A375FC">
        <w:rPr>
          <w:lang w:val="en-US"/>
        </w:rPr>
        <w:t>ISSAI 5700 “Guideline for the audit of Corruption Prevention in Government Agencies”, worked by the Working Group on Fight Against Corruption and Money Laundering (WGFACML)</w:t>
      </w:r>
    </w:p>
    <w:p w:rsidR="00C24AF8" w:rsidRDefault="00C24AF8" w:rsidP="00C24AF8">
      <w:pPr>
        <w:pStyle w:val="Liststycke"/>
        <w:numPr>
          <w:ilvl w:val="0"/>
          <w:numId w:val="36"/>
        </w:numPr>
        <w:ind w:left="1068"/>
        <w:rPr>
          <w:lang w:val="en-US"/>
        </w:rPr>
      </w:pPr>
      <w:r w:rsidRPr="00A375FC">
        <w:rPr>
          <w:lang w:val="en-US"/>
        </w:rPr>
        <w:t>The promotion of the relevance of INTOSAI tools, included IntoSAINT, by the Working Group on Value and Benefits of SAIs (WGVBS)</w:t>
      </w:r>
    </w:p>
    <w:p w:rsidR="00C24AF8" w:rsidRPr="00A375FC" w:rsidRDefault="00C24AF8" w:rsidP="00C24AF8">
      <w:pPr>
        <w:pStyle w:val="Liststycke"/>
        <w:numPr>
          <w:ilvl w:val="0"/>
          <w:numId w:val="36"/>
        </w:numPr>
        <w:ind w:left="1068"/>
        <w:rPr>
          <w:lang w:val="en-US"/>
        </w:rPr>
      </w:pPr>
      <w:r>
        <w:rPr>
          <w:lang w:val="en-US"/>
        </w:rPr>
        <w:t>The IDI fraud and corruption programme</w:t>
      </w:r>
    </w:p>
    <w:p w:rsidR="007E335D" w:rsidRDefault="007E335D" w:rsidP="007E335D">
      <w:pPr>
        <w:pStyle w:val="Liststycke"/>
        <w:ind w:left="708"/>
        <w:rPr>
          <w:lang w:val="en-US"/>
        </w:rPr>
      </w:pPr>
    </w:p>
    <w:p w:rsidR="0038542B" w:rsidRPr="0038542B" w:rsidRDefault="0038542B" w:rsidP="00407D86">
      <w:pPr>
        <w:rPr>
          <w:lang w:val="en-US"/>
        </w:rPr>
      </w:pPr>
    </w:p>
    <w:sectPr w:rsidR="0038542B" w:rsidRPr="003854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C6" w:rsidRDefault="00E251C6" w:rsidP="0038542B">
      <w:pPr>
        <w:spacing w:after="0" w:line="240" w:lineRule="auto"/>
      </w:pPr>
      <w:r>
        <w:separator/>
      </w:r>
    </w:p>
  </w:endnote>
  <w:endnote w:type="continuationSeparator" w:id="0">
    <w:p w:rsidR="00E251C6" w:rsidRDefault="00E251C6" w:rsidP="0038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24829"/>
      <w:docPartObj>
        <w:docPartGallery w:val="Page Numbers (Bottom of Page)"/>
        <w:docPartUnique/>
      </w:docPartObj>
    </w:sdtPr>
    <w:sdtEndPr/>
    <w:sdtContent>
      <w:p w:rsidR="00913DDA" w:rsidRDefault="00913DDA" w:rsidP="00D45A7E">
        <w:pPr>
          <w:pStyle w:val="Sidfot"/>
          <w:tabs>
            <w:tab w:val="left" w:pos="5544"/>
            <w:tab w:val="right" w:pos="9406"/>
          </w:tabs>
        </w:pPr>
        <w:r>
          <w:tab/>
        </w:r>
        <w:r>
          <w:tab/>
        </w:r>
        <w:r>
          <w:tab/>
        </w:r>
        <w:r>
          <w:tab/>
        </w:r>
        <w:r>
          <w:fldChar w:fldCharType="begin"/>
        </w:r>
        <w:r>
          <w:instrText>PAGE   \* MERGEFORMAT</w:instrText>
        </w:r>
        <w:r>
          <w:fldChar w:fldCharType="separate"/>
        </w:r>
        <w:r w:rsidR="00C4317D" w:rsidRPr="00C4317D">
          <w:rPr>
            <w:noProof/>
            <w:lang w:val="es-ES"/>
          </w:rPr>
          <w:t>4</w:t>
        </w:r>
        <w:r>
          <w:fldChar w:fldCharType="end"/>
        </w:r>
      </w:p>
    </w:sdtContent>
  </w:sdt>
  <w:p w:rsidR="00913DDA" w:rsidRDefault="00913DD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C6" w:rsidRDefault="00E251C6" w:rsidP="0038542B">
      <w:pPr>
        <w:spacing w:after="0" w:line="240" w:lineRule="auto"/>
      </w:pPr>
      <w:r>
        <w:separator/>
      </w:r>
    </w:p>
  </w:footnote>
  <w:footnote w:type="continuationSeparator" w:id="0">
    <w:p w:rsidR="00E251C6" w:rsidRDefault="00E251C6" w:rsidP="00385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46F"/>
    <w:multiLevelType w:val="hybridMultilevel"/>
    <w:tmpl w:val="646294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8F1AC6"/>
    <w:multiLevelType w:val="hybridMultilevel"/>
    <w:tmpl w:val="92F08A80"/>
    <w:lvl w:ilvl="0" w:tplc="0C0C000B">
      <w:start w:val="1"/>
      <w:numFmt w:val="bullet"/>
      <w:lvlText w:val=""/>
      <w:lvlJc w:val="left"/>
      <w:pPr>
        <w:ind w:left="1378" w:hanging="360"/>
      </w:pPr>
      <w:rPr>
        <w:rFonts w:ascii="Wingdings" w:hAnsi="Wingdings" w:hint="default"/>
      </w:rPr>
    </w:lvl>
    <w:lvl w:ilvl="1" w:tplc="0C0C0003" w:tentative="1">
      <w:start w:val="1"/>
      <w:numFmt w:val="bullet"/>
      <w:lvlText w:val="o"/>
      <w:lvlJc w:val="left"/>
      <w:pPr>
        <w:ind w:left="2098" w:hanging="360"/>
      </w:pPr>
      <w:rPr>
        <w:rFonts w:ascii="Courier New" w:hAnsi="Courier New" w:cs="Courier New" w:hint="default"/>
      </w:rPr>
    </w:lvl>
    <w:lvl w:ilvl="2" w:tplc="0C0C0005" w:tentative="1">
      <w:start w:val="1"/>
      <w:numFmt w:val="bullet"/>
      <w:lvlText w:val=""/>
      <w:lvlJc w:val="left"/>
      <w:pPr>
        <w:ind w:left="2818" w:hanging="360"/>
      </w:pPr>
      <w:rPr>
        <w:rFonts w:ascii="Wingdings" w:hAnsi="Wingdings" w:hint="default"/>
      </w:rPr>
    </w:lvl>
    <w:lvl w:ilvl="3" w:tplc="0C0C0001" w:tentative="1">
      <w:start w:val="1"/>
      <w:numFmt w:val="bullet"/>
      <w:lvlText w:val=""/>
      <w:lvlJc w:val="left"/>
      <w:pPr>
        <w:ind w:left="3538" w:hanging="360"/>
      </w:pPr>
      <w:rPr>
        <w:rFonts w:ascii="Symbol" w:hAnsi="Symbol" w:hint="default"/>
      </w:rPr>
    </w:lvl>
    <w:lvl w:ilvl="4" w:tplc="0C0C0003" w:tentative="1">
      <w:start w:val="1"/>
      <w:numFmt w:val="bullet"/>
      <w:lvlText w:val="o"/>
      <w:lvlJc w:val="left"/>
      <w:pPr>
        <w:ind w:left="4258" w:hanging="360"/>
      </w:pPr>
      <w:rPr>
        <w:rFonts w:ascii="Courier New" w:hAnsi="Courier New" w:cs="Courier New" w:hint="default"/>
      </w:rPr>
    </w:lvl>
    <w:lvl w:ilvl="5" w:tplc="0C0C0005" w:tentative="1">
      <w:start w:val="1"/>
      <w:numFmt w:val="bullet"/>
      <w:lvlText w:val=""/>
      <w:lvlJc w:val="left"/>
      <w:pPr>
        <w:ind w:left="4978" w:hanging="360"/>
      </w:pPr>
      <w:rPr>
        <w:rFonts w:ascii="Wingdings" w:hAnsi="Wingdings" w:hint="default"/>
      </w:rPr>
    </w:lvl>
    <w:lvl w:ilvl="6" w:tplc="0C0C0001" w:tentative="1">
      <w:start w:val="1"/>
      <w:numFmt w:val="bullet"/>
      <w:lvlText w:val=""/>
      <w:lvlJc w:val="left"/>
      <w:pPr>
        <w:ind w:left="5698" w:hanging="360"/>
      </w:pPr>
      <w:rPr>
        <w:rFonts w:ascii="Symbol" w:hAnsi="Symbol" w:hint="default"/>
      </w:rPr>
    </w:lvl>
    <w:lvl w:ilvl="7" w:tplc="0C0C0003" w:tentative="1">
      <w:start w:val="1"/>
      <w:numFmt w:val="bullet"/>
      <w:lvlText w:val="o"/>
      <w:lvlJc w:val="left"/>
      <w:pPr>
        <w:ind w:left="6418" w:hanging="360"/>
      </w:pPr>
      <w:rPr>
        <w:rFonts w:ascii="Courier New" w:hAnsi="Courier New" w:cs="Courier New" w:hint="default"/>
      </w:rPr>
    </w:lvl>
    <w:lvl w:ilvl="8" w:tplc="0C0C0005" w:tentative="1">
      <w:start w:val="1"/>
      <w:numFmt w:val="bullet"/>
      <w:lvlText w:val=""/>
      <w:lvlJc w:val="left"/>
      <w:pPr>
        <w:ind w:left="7138" w:hanging="360"/>
      </w:pPr>
      <w:rPr>
        <w:rFonts w:ascii="Wingdings" w:hAnsi="Wingdings" w:hint="default"/>
      </w:rPr>
    </w:lvl>
  </w:abstractNum>
  <w:abstractNum w:abstractNumId="2" w15:restartNumberingAfterBreak="0">
    <w:nsid w:val="04C953C3"/>
    <w:multiLevelType w:val="hybridMultilevel"/>
    <w:tmpl w:val="2044439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153162"/>
    <w:multiLevelType w:val="hybridMultilevel"/>
    <w:tmpl w:val="FCA61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E85641"/>
    <w:multiLevelType w:val="hybridMultilevel"/>
    <w:tmpl w:val="F464663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05474B"/>
    <w:multiLevelType w:val="hybridMultilevel"/>
    <w:tmpl w:val="8112384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B9D4494"/>
    <w:multiLevelType w:val="hybridMultilevel"/>
    <w:tmpl w:val="68562C74"/>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A7799"/>
    <w:multiLevelType w:val="hybridMultilevel"/>
    <w:tmpl w:val="0B3C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130FB8"/>
    <w:multiLevelType w:val="hybridMultilevel"/>
    <w:tmpl w:val="A8F2DF4A"/>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12D95302"/>
    <w:multiLevelType w:val="hybridMultilevel"/>
    <w:tmpl w:val="E14220B2"/>
    <w:lvl w:ilvl="0" w:tplc="04130001">
      <w:start w:val="1"/>
      <w:numFmt w:val="bullet"/>
      <w:lvlText w:val=""/>
      <w:lvlJc w:val="left"/>
      <w:pPr>
        <w:ind w:left="796" w:hanging="360"/>
      </w:pPr>
      <w:rPr>
        <w:rFonts w:ascii="Symbol" w:hAnsi="Symbol" w:hint="default"/>
      </w:rPr>
    </w:lvl>
    <w:lvl w:ilvl="1" w:tplc="04130003">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10" w15:restartNumberingAfterBreak="0">
    <w:nsid w:val="151D404B"/>
    <w:multiLevelType w:val="hybridMultilevel"/>
    <w:tmpl w:val="9636251E"/>
    <w:lvl w:ilvl="0" w:tplc="0C0C0001">
      <w:start w:val="1"/>
      <w:numFmt w:val="bullet"/>
      <w:lvlText w:val=""/>
      <w:lvlJc w:val="left"/>
      <w:pPr>
        <w:ind w:left="0" w:hanging="360"/>
      </w:pPr>
      <w:rPr>
        <w:rFonts w:ascii="Symbol" w:hAnsi="Symbo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1" w15:restartNumberingAfterBreak="0">
    <w:nsid w:val="1D062737"/>
    <w:multiLevelType w:val="hybridMultilevel"/>
    <w:tmpl w:val="3B6606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2776437"/>
    <w:multiLevelType w:val="hybridMultilevel"/>
    <w:tmpl w:val="D08E85B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432300"/>
    <w:multiLevelType w:val="hybridMultilevel"/>
    <w:tmpl w:val="E306D9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3A1042"/>
    <w:multiLevelType w:val="hybridMultilevel"/>
    <w:tmpl w:val="BA96B3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4F6E2F"/>
    <w:multiLevelType w:val="hybridMultilevel"/>
    <w:tmpl w:val="516C3732"/>
    <w:lvl w:ilvl="0" w:tplc="54721524">
      <w:start w:val="1"/>
      <w:numFmt w:val="decimal"/>
      <w:lvlText w:val="%1"/>
      <w:lvlJc w:val="left"/>
      <w:pPr>
        <w:ind w:left="720" w:hanging="360"/>
      </w:pPr>
      <w:rPr>
        <w:rFonts w:asciiTheme="majorHAnsi" w:hAnsiTheme="majorHAnsi" w:hint="default"/>
        <w:b/>
        <w:color w:val="4F81BD" w:themeColor="accent1"/>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C91F88"/>
    <w:multiLevelType w:val="hybridMultilevel"/>
    <w:tmpl w:val="A6989AEA"/>
    <w:lvl w:ilvl="0" w:tplc="68727BAA">
      <w:start w:val="1"/>
      <w:numFmt w:val="bullet"/>
      <w:lvlText w:val="•"/>
      <w:lvlJc w:val="left"/>
      <w:pPr>
        <w:tabs>
          <w:tab w:val="num" w:pos="720"/>
        </w:tabs>
        <w:ind w:left="720" w:hanging="360"/>
      </w:pPr>
      <w:rPr>
        <w:rFonts w:ascii="Times New Roman" w:hAnsi="Times New Roman" w:hint="default"/>
      </w:rPr>
    </w:lvl>
    <w:lvl w:ilvl="1" w:tplc="C59A2C36" w:tentative="1">
      <w:start w:val="1"/>
      <w:numFmt w:val="bullet"/>
      <w:lvlText w:val="•"/>
      <w:lvlJc w:val="left"/>
      <w:pPr>
        <w:tabs>
          <w:tab w:val="num" w:pos="1440"/>
        </w:tabs>
        <w:ind w:left="1440" w:hanging="360"/>
      </w:pPr>
      <w:rPr>
        <w:rFonts w:ascii="Times New Roman" w:hAnsi="Times New Roman" w:hint="default"/>
      </w:rPr>
    </w:lvl>
    <w:lvl w:ilvl="2" w:tplc="8ABCFA24" w:tentative="1">
      <w:start w:val="1"/>
      <w:numFmt w:val="bullet"/>
      <w:lvlText w:val="•"/>
      <w:lvlJc w:val="left"/>
      <w:pPr>
        <w:tabs>
          <w:tab w:val="num" w:pos="2160"/>
        </w:tabs>
        <w:ind w:left="2160" w:hanging="360"/>
      </w:pPr>
      <w:rPr>
        <w:rFonts w:ascii="Times New Roman" w:hAnsi="Times New Roman" w:hint="default"/>
      </w:rPr>
    </w:lvl>
    <w:lvl w:ilvl="3" w:tplc="E862BCD6" w:tentative="1">
      <w:start w:val="1"/>
      <w:numFmt w:val="bullet"/>
      <w:lvlText w:val="•"/>
      <w:lvlJc w:val="left"/>
      <w:pPr>
        <w:tabs>
          <w:tab w:val="num" w:pos="2880"/>
        </w:tabs>
        <w:ind w:left="2880" w:hanging="360"/>
      </w:pPr>
      <w:rPr>
        <w:rFonts w:ascii="Times New Roman" w:hAnsi="Times New Roman" w:hint="default"/>
      </w:rPr>
    </w:lvl>
    <w:lvl w:ilvl="4" w:tplc="0C6E1CAA" w:tentative="1">
      <w:start w:val="1"/>
      <w:numFmt w:val="bullet"/>
      <w:lvlText w:val="•"/>
      <w:lvlJc w:val="left"/>
      <w:pPr>
        <w:tabs>
          <w:tab w:val="num" w:pos="3600"/>
        </w:tabs>
        <w:ind w:left="3600" w:hanging="360"/>
      </w:pPr>
      <w:rPr>
        <w:rFonts w:ascii="Times New Roman" w:hAnsi="Times New Roman" w:hint="default"/>
      </w:rPr>
    </w:lvl>
    <w:lvl w:ilvl="5" w:tplc="F29CFACE" w:tentative="1">
      <w:start w:val="1"/>
      <w:numFmt w:val="bullet"/>
      <w:lvlText w:val="•"/>
      <w:lvlJc w:val="left"/>
      <w:pPr>
        <w:tabs>
          <w:tab w:val="num" w:pos="4320"/>
        </w:tabs>
        <w:ind w:left="4320" w:hanging="360"/>
      </w:pPr>
      <w:rPr>
        <w:rFonts w:ascii="Times New Roman" w:hAnsi="Times New Roman" w:hint="default"/>
      </w:rPr>
    </w:lvl>
    <w:lvl w:ilvl="6" w:tplc="4850818E" w:tentative="1">
      <w:start w:val="1"/>
      <w:numFmt w:val="bullet"/>
      <w:lvlText w:val="•"/>
      <w:lvlJc w:val="left"/>
      <w:pPr>
        <w:tabs>
          <w:tab w:val="num" w:pos="5040"/>
        </w:tabs>
        <w:ind w:left="5040" w:hanging="360"/>
      </w:pPr>
      <w:rPr>
        <w:rFonts w:ascii="Times New Roman" w:hAnsi="Times New Roman" w:hint="default"/>
      </w:rPr>
    </w:lvl>
    <w:lvl w:ilvl="7" w:tplc="B6460BF4" w:tentative="1">
      <w:start w:val="1"/>
      <w:numFmt w:val="bullet"/>
      <w:lvlText w:val="•"/>
      <w:lvlJc w:val="left"/>
      <w:pPr>
        <w:tabs>
          <w:tab w:val="num" w:pos="5760"/>
        </w:tabs>
        <w:ind w:left="5760" w:hanging="360"/>
      </w:pPr>
      <w:rPr>
        <w:rFonts w:ascii="Times New Roman" w:hAnsi="Times New Roman" w:hint="default"/>
      </w:rPr>
    </w:lvl>
    <w:lvl w:ilvl="8" w:tplc="05749DE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9A1C48"/>
    <w:multiLevelType w:val="hybridMultilevel"/>
    <w:tmpl w:val="D7882F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BAA321E"/>
    <w:multiLevelType w:val="hybridMultilevel"/>
    <w:tmpl w:val="CC82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163F4"/>
    <w:multiLevelType w:val="hybridMultilevel"/>
    <w:tmpl w:val="8DDA5A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7D6267A"/>
    <w:multiLevelType w:val="hybridMultilevel"/>
    <w:tmpl w:val="B30A04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DA3F1E"/>
    <w:multiLevelType w:val="hybridMultilevel"/>
    <w:tmpl w:val="2A2422C2"/>
    <w:lvl w:ilvl="0" w:tplc="D48EF69E">
      <w:start w:val="1"/>
      <w:numFmt w:val="bullet"/>
      <w:lvlText w:val="•"/>
      <w:lvlJc w:val="left"/>
      <w:pPr>
        <w:tabs>
          <w:tab w:val="num" w:pos="720"/>
        </w:tabs>
        <w:ind w:left="720" w:hanging="360"/>
      </w:pPr>
      <w:rPr>
        <w:rFonts w:ascii="Times New Roman" w:hAnsi="Times New Roman" w:hint="default"/>
      </w:rPr>
    </w:lvl>
    <w:lvl w:ilvl="1" w:tplc="9AE6F654" w:tentative="1">
      <w:start w:val="1"/>
      <w:numFmt w:val="bullet"/>
      <w:lvlText w:val="•"/>
      <w:lvlJc w:val="left"/>
      <w:pPr>
        <w:tabs>
          <w:tab w:val="num" w:pos="1440"/>
        </w:tabs>
        <w:ind w:left="1440" w:hanging="360"/>
      </w:pPr>
      <w:rPr>
        <w:rFonts w:ascii="Times New Roman" w:hAnsi="Times New Roman" w:hint="default"/>
      </w:rPr>
    </w:lvl>
    <w:lvl w:ilvl="2" w:tplc="887EAAC2" w:tentative="1">
      <w:start w:val="1"/>
      <w:numFmt w:val="bullet"/>
      <w:lvlText w:val="•"/>
      <w:lvlJc w:val="left"/>
      <w:pPr>
        <w:tabs>
          <w:tab w:val="num" w:pos="2160"/>
        </w:tabs>
        <w:ind w:left="2160" w:hanging="360"/>
      </w:pPr>
      <w:rPr>
        <w:rFonts w:ascii="Times New Roman" w:hAnsi="Times New Roman" w:hint="default"/>
      </w:rPr>
    </w:lvl>
    <w:lvl w:ilvl="3" w:tplc="547C98F2" w:tentative="1">
      <w:start w:val="1"/>
      <w:numFmt w:val="bullet"/>
      <w:lvlText w:val="•"/>
      <w:lvlJc w:val="left"/>
      <w:pPr>
        <w:tabs>
          <w:tab w:val="num" w:pos="2880"/>
        </w:tabs>
        <w:ind w:left="2880" w:hanging="360"/>
      </w:pPr>
      <w:rPr>
        <w:rFonts w:ascii="Times New Roman" w:hAnsi="Times New Roman" w:hint="default"/>
      </w:rPr>
    </w:lvl>
    <w:lvl w:ilvl="4" w:tplc="E4CC0CE2" w:tentative="1">
      <w:start w:val="1"/>
      <w:numFmt w:val="bullet"/>
      <w:lvlText w:val="•"/>
      <w:lvlJc w:val="left"/>
      <w:pPr>
        <w:tabs>
          <w:tab w:val="num" w:pos="3600"/>
        </w:tabs>
        <w:ind w:left="3600" w:hanging="360"/>
      </w:pPr>
      <w:rPr>
        <w:rFonts w:ascii="Times New Roman" w:hAnsi="Times New Roman" w:hint="default"/>
      </w:rPr>
    </w:lvl>
    <w:lvl w:ilvl="5" w:tplc="954E5228" w:tentative="1">
      <w:start w:val="1"/>
      <w:numFmt w:val="bullet"/>
      <w:lvlText w:val="•"/>
      <w:lvlJc w:val="left"/>
      <w:pPr>
        <w:tabs>
          <w:tab w:val="num" w:pos="4320"/>
        </w:tabs>
        <w:ind w:left="4320" w:hanging="360"/>
      </w:pPr>
      <w:rPr>
        <w:rFonts w:ascii="Times New Roman" w:hAnsi="Times New Roman" w:hint="default"/>
      </w:rPr>
    </w:lvl>
    <w:lvl w:ilvl="6" w:tplc="592C5F12" w:tentative="1">
      <w:start w:val="1"/>
      <w:numFmt w:val="bullet"/>
      <w:lvlText w:val="•"/>
      <w:lvlJc w:val="left"/>
      <w:pPr>
        <w:tabs>
          <w:tab w:val="num" w:pos="5040"/>
        </w:tabs>
        <w:ind w:left="5040" w:hanging="360"/>
      </w:pPr>
      <w:rPr>
        <w:rFonts w:ascii="Times New Roman" w:hAnsi="Times New Roman" w:hint="default"/>
      </w:rPr>
    </w:lvl>
    <w:lvl w:ilvl="7" w:tplc="8E722F36" w:tentative="1">
      <w:start w:val="1"/>
      <w:numFmt w:val="bullet"/>
      <w:lvlText w:val="•"/>
      <w:lvlJc w:val="left"/>
      <w:pPr>
        <w:tabs>
          <w:tab w:val="num" w:pos="5760"/>
        </w:tabs>
        <w:ind w:left="5760" w:hanging="360"/>
      </w:pPr>
      <w:rPr>
        <w:rFonts w:ascii="Times New Roman" w:hAnsi="Times New Roman" w:hint="default"/>
      </w:rPr>
    </w:lvl>
    <w:lvl w:ilvl="8" w:tplc="B1B85A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561C0D"/>
    <w:multiLevelType w:val="hybridMultilevel"/>
    <w:tmpl w:val="D9D8BF20"/>
    <w:lvl w:ilvl="0" w:tplc="E0E0A7D8">
      <w:start w:val="1"/>
      <w:numFmt w:val="bullet"/>
      <w:lvlText w:val="•"/>
      <w:lvlJc w:val="left"/>
      <w:pPr>
        <w:tabs>
          <w:tab w:val="num" w:pos="720"/>
        </w:tabs>
        <w:ind w:left="720" w:hanging="360"/>
      </w:pPr>
      <w:rPr>
        <w:rFonts w:ascii="Times New Roman" w:hAnsi="Times New Roman" w:hint="default"/>
      </w:rPr>
    </w:lvl>
    <w:lvl w:ilvl="1" w:tplc="79448AAA" w:tentative="1">
      <w:start w:val="1"/>
      <w:numFmt w:val="bullet"/>
      <w:lvlText w:val="•"/>
      <w:lvlJc w:val="left"/>
      <w:pPr>
        <w:tabs>
          <w:tab w:val="num" w:pos="1440"/>
        </w:tabs>
        <w:ind w:left="1440" w:hanging="360"/>
      </w:pPr>
      <w:rPr>
        <w:rFonts w:ascii="Times New Roman" w:hAnsi="Times New Roman" w:hint="default"/>
      </w:rPr>
    </w:lvl>
    <w:lvl w:ilvl="2" w:tplc="3824265A" w:tentative="1">
      <w:start w:val="1"/>
      <w:numFmt w:val="bullet"/>
      <w:lvlText w:val="•"/>
      <w:lvlJc w:val="left"/>
      <w:pPr>
        <w:tabs>
          <w:tab w:val="num" w:pos="2160"/>
        </w:tabs>
        <w:ind w:left="2160" w:hanging="360"/>
      </w:pPr>
      <w:rPr>
        <w:rFonts w:ascii="Times New Roman" w:hAnsi="Times New Roman" w:hint="default"/>
      </w:rPr>
    </w:lvl>
    <w:lvl w:ilvl="3" w:tplc="B8DED5B6" w:tentative="1">
      <w:start w:val="1"/>
      <w:numFmt w:val="bullet"/>
      <w:lvlText w:val="•"/>
      <w:lvlJc w:val="left"/>
      <w:pPr>
        <w:tabs>
          <w:tab w:val="num" w:pos="2880"/>
        </w:tabs>
        <w:ind w:left="2880" w:hanging="360"/>
      </w:pPr>
      <w:rPr>
        <w:rFonts w:ascii="Times New Roman" w:hAnsi="Times New Roman" w:hint="default"/>
      </w:rPr>
    </w:lvl>
    <w:lvl w:ilvl="4" w:tplc="25FA43A2" w:tentative="1">
      <w:start w:val="1"/>
      <w:numFmt w:val="bullet"/>
      <w:lvlText w:val="•"/>
      <w:lvlJc w:val="left"/>
      <w:pPr>
        <w:tabs>
          <w:tab w:val="num" w:pos="3600"/>
        </w:tabs>
        <w:ind w:left="3600" w:hanging="360"/>
      </w:pPr>
      <w:rPr>
        <w:rFonts w:ascii="Times New Roman" w:hAnsi="Times New Roman" w:hint="default"/>
      </w:rPr>
    </w:lvl>
    <w:lvl w:ilvl="5" w:tplc="2612D442" w:tentative="1">
      <w:start w:val="1"/>
      <w:numFmt w:val="bullet"/>
      <w:lvlText w:val="•"/>
      <w:lvlJc w:val="left"/>
      <w:pPr>
        <w:tabs>
          <w:tab w:val="num" w:pos="4320"/>
        </w:tabs>
        <w:ind w:left="4320" w:hanging="360"/>
      </w:pPr>
      <w:rPr>
        <w:rFonts w:ascii="Times New Roman" w:hAnsi="Times New Roman" w:hint="default"/>
      </w:rPr>
    </w:lvl>
    <w:lvl w:ilvl="6" w:tplc="9B7C7D60" w:tentative="1">
      <w:start w:val="1"/>
      <w:numFmt w:val="bullet"/>
      <w:lvlText w:val="•"/>
      <w:lvlJc w:val="left"/>
      <w:pPr>
        <w:tabs>
          <w:tab w:val="num" w:pos="5040"/>
        </w:tabs>
        <w:ind w:left="5040" w:hanging="360"/>
      </w:pPr>
      <w:rPr>
        <w:rFonts w:ascii="Times New Roman" w:hAnsi="Times New Roman" w:hint="default"/>
      </w:rPr>
    </w:lvl>
    <w:lvl w:ilvl="7" w:tplc="54BE509E" w:tentative="1">
      <w:start w:val="1"/>
      <w:numFmt w:val="bullet"/>
      <w:lvlText w:val="•"/>
      <w:lvlJc w:val="left"/>
      <w:pPr>
        <w:tabs>
          <w:tab w:val="num" w:pos="5760"/>
        </w:tabs>
        <w:ind w:left="5760" w:hanging="360"/>
      </w:pPr>
      <w:rPr>
        <w:rFonts w:ascii="Times New Roman" w:hAnsi="Times New Roman" w:hint="default"/>
      </w:rPr>
    </w:lvl>
    <w:lvl w:ilvl="8" w:tplc="3702B4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412F31"/>
    <w:multiLevelType w:val="hybridMultilevel"/>
    <w:tmpl w:val="3DCE7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C02D14"/>
    <w:multiLevelType w:val="hybridMultilevel"/>
    <w:tmpl w:val="8758C3BA"/>
    <w:lvl w:ilvl="0" w:tplc="9ED275F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63FA2C4F"/>
    <w:multiLevelType w:val="hybridMultilevel"/>
    <w:tmpl w:val="34424600"/>
    <w:lvl w:ilvl="0" w:tplc="F56E1E1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8A72BD"/>
    <w:multiLevelType w:val="hybridMultilevel"/>
    <w:tmpl w:val="F9B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15491"/>
    <w:multiLevelType w:val="hybridMultilevel"/>
    <w:tmpl w:val="E73C8F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A41DBB"/>
    <w:multiLevelType w:val="hybridMultilevel"/>
    <w:tmpl w:val="74542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143F0C"/>
    <w:multiLevelType w:val="hybridMultilevel"/>
    <w:tmpl w:val="B0B49DDA"/>
    <w:lvl w:ilvl="0" w:tplc="FD8C973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A25C8B"/>
    <w:multiLevelType w:val="hybridMultilevel"/>
    <w:tmpl w:val="323C73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D4A762E"/>
    <w:multiLevelType w:val="hybridMultilevel"/>
    <w:tmpl w:val="B0B49DDA"/>
    <w:lvl w:ilvl="0" w:tplc="FD8C973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6065DA"/>
    <w:multiLevelType w:val="hybridMultilevel"/>
    <w:tmpl w:val="640454FE"/>
    <w:lvl w:ilvl="0" w:tplc="697ADA34">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C42006"/>
    <w:multiLevelType w:val="hybridMultilevel"/>
    <w:tmpl w:val="07720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213233"/>
    <w:multiLevelType w:val="hybridMultilevel"/>
    <w:tmpl w:val="0802A9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C33D7"/>
    <w:multiLevelType w:val="hybridMultilevel"/>
    <w:tmpl w:val="8BCEC8FC"/>
    <w:lvl w:ilvl="0" w:tplc="5D54E0F4">
      <w:start w:val="1"/>
      <w:numFmt w:val="decimal"/>
      <w:lvlText w:val="%1."/>
      <w:lvlJc w:val="left"/>
      <w:pPr>
        <w:ind w:left="720" w:hanging="360"/>
      </w:pPr>
      <w:rPr>
        <w:rFonts w:asciiTheme="majorHAnsi" w:hAnsiTheme="majorHAnsi" w:hint="default"/>
        <w:b/>
        <w:color w:val="4F81BD" w:themeColor="accent1"/>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25"/>
  </w:num>
  <w:num w:numId="3">
    <w:abstractNumId w:val="14"/>
  </w:num>
  <w:num w:numId="4">
    <w:abstractNumId w:val="21"/>
  </w:num>
  <w:num w:numId="5">
    <w:abstractNumId w:val="16"/>
  </w:num>
  <w:num w:numId="6">
    <w:abstractNumId w:val="22"/>
  </w:num>
  <w:num w:numId="7">
    <w:abstractNumId w:val="11"/>
  </w:num>
  <w:num w:numId="8">
    <w:abstractNumId w:val="31"/>
  </w:num>
  <w:num w:numId="9">
    <w:abstractNumId w:val="5"/>
  </w:num>
  <w:num w:numId="10">
    <w:abstractNumId w:val="12"/>
  </w:num>
  <w:num w:numId="11">
    <w:abstractNumId w:val="10"/>
  </w:num>
  <w:num w:numId="12">
    <w:abstractNumId w:val="1"/>
  </w:num>
  <w:num w:numId="13">
    <w:abstractNumId w:val="17"/>
  </w:num>
  <w:num w:numId="14">
    <w:abstractNumId w:val="19"/>
  </w:num>
  <w:num w:numId="15">
    <w:abstractNumId w:val="13"/>
  </w:num>
  <w:num w:numId="16">
    <w:abstractNumId w:val="24"/>
  </w:num>
  <w:num w:numId="17">
    <w:abstractNumId w:val="6"/>
  </w:num>
  <w:num w:numId="18">
    <w:abstractNumId w:val="18"/>
  </w:num>
  <w:num w:numId="19">
    <w:abstractNumId w:val="26"/>
  </w:num>
  <w:num w:numId="20">
    <w:abstractNumId w:val="29"/>
  </w:num>
  <w:num w:numId="21">
    <w:abstractNumId w:val="3"/>
  </w:num>
  <w:num w:numId="22">
    <w:abstractNumId w:val="30"/>
  </w:num>
  <w:num w:numId="23">
    <w:abstractNumId w:val="35"/>
  </w:num>
  <w:num w:numId="24">
    <w:abstractNumId w:val="15"/>
  </w:num>
  <w:num w:numId="25">
    <w:abstractNumId w:val="20"/>
  </w:num>
  <w:num w:numId="26">
    <w:abstractNumId w:val="28"/>
  </w:num>
  <w:num w:numId="27">
    <w:abstractNumId w:val="27"/>
  </w:num>
  <w:num w:numId="28">
    <w:abstractNumId w:val="7"/>
  </w:num>
  <w:num w:numId="29">
    <w:abstractNumId w:val="4"/>
  </w:num>
  <w:num w:numId="30">
    <w:abstractNumId w:val="33"/>
  </w:num>
  <w:num w:numId="31">
    <w:abstractNumId w:val="9"/>
  </w:num>
  <w:num w:numId="32">
    <w:abstractNumId w:val="0"/>
  </w:num>
  <w:num w:numId="33">
    <w:abstractNumId w:val="8"/>
  </w:num>
  <w:num w:numId="34">
    <w:abstractNumId w:val="2"/>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DD"/>
    <w:rsid w:val="00002106"/>
    <w:rsid w:val="000047ED"/>
    <w:rsid w:val="0001647C"/>
    <w:rsid w:val="00020D24"/>
    <w:rsid w:val="000217CA"/>
    <w:rsid w:val="00030BDD"/>
    <w:rsid w:val="000516A9"/>
    <w:rsid w:val="00057754"/>
    <w:rsid w:val="00070DA1"/>
    <w:rsid w:val="0007562C"/>
    <w:rsid w:val="00077FB2"/>
    <w:rsid w:val="0009767A"/>
    <w:rsid w:val="000C0687"/>
    <w:rsid w:val="000C0A2D"/>
    <w:rsid w:val="000D1F91"/>
    <w:rsid w:val="000D5E84"/>
    <w:rsid w:val="000E2FAF"/>
    <w:rsid w:val="000E47D8"/>
    <w:rsid w:val="000E47FD"/>
    <w:rsid w:val="000F0A7E"/>
    <w:rsid w:val="00107A5C"/>
    <w:rsid w:val="00110BF1"/>
    <w:rsid w:val="00113DDC"/>
    <w:rsid w:val="00115032"/>
    <w:rsid w:val="0012034F"/>
    <w:rsid w:val="0012384C"/>
    <w:rsid w:val="00126A40"/>
    <w:rsid w:val="001318C6"/>
    <w:rsid w:val="00151146"/>
    <w:rsid w:val="00153E5A"/>
    <w:rsid w:val="00155362"/>
    <w:rsid w:val="001563DB"/>
    <w:rsid w:val="00156A90"/>
    <w:rsid w:val="00174679"/>
    <w:rsid w:val="00181858"/>
    <w:rsid w:val="001A1DD6"/>
    <w:rsid w:val="001B2DE0"/>
    <w:rsid w:val="001B336A"/>
    <w:rsid w:val="001B40DA"/>
    <w:rsid w:val="001C0D77"/>
    <w:rsid w:val="001C3F4C"/>
    <w:rsid w:val="001D61B7"/>
    <w:rsid w:val="0020221A"/>
    <w:rsid w:val="002317E4"/>
    <w:rsid w:val="00232557"/>
    <w:rsid w:val="00242FE9"/>
    <w:rsid w:val="00243747"/>
    <w:rsid w:val="002723EC"/>
    <w:rsid w:val="00272A16"/>
    <w:rsid w:val="00273FA9"/>
    <w:rsid w:val="00282891"/>
    <w:rsid w:val="002A36FD"/>
    <w:rsid w:val="002B1933"/>
    <w:rsid w:val="002B3D07"/>
    <w:rsid w:val="003040E6"/>
    <w:rsid w:val="00313BB7"/>
    <w:rsid w:val="00315754"/>
    <w:rsid w:val="003241AB"/>
    <w:rsid w:val="003302F3"/>
    <w:rsid w:val="003365F6"/>
    <w:rsid w:val="00342CFE"/>
    <w:rsid w:val="003506DC"/>
    <w:rsid w:val="00366D13"/>
    <w:rsid w:val="0037303A"/>
    <w:rsid w:val="0038542B"/>
    <w:rsid w:val="0039619C"/>
    <w:rsid w:val="003A6E20"/>
    <w:rsid w:val="003B1C53"/>
    <w:rsid w:val="00407D86"/>
    <w:rsid w:val="00417060"/>
    <w:rsid w:val="00425A50"/>
    <w:rsid w:val="00425C57"/>
    <w:rsid w:val="004303FC"/>
    <w:rsid w:val="004324DB"/>
    <w:rsid w:val="00443001"/>
    <w:rsid w:val="004458CB"/>
    <w:rsid w:val="0046175A"/>
    <w:rsid w:val="00475101"/>
    <w:rsid w:val="004843E3"/>
    <w:rsid w:val="00485294"/>
    <w:rsid w:val="00495A20"/>
    <w:rsid w:val="004D3770"/>
    <w:rsid w:val="004E6E52"/>
    <w:rsid w:val="004F1216"/>
    <w:rsid w:val="004F54AA"/>
    <w:rsid w:val="004F63F8"/>
    <w:rsid w:val="00501325"/>
    <w:rsid w:val="00501E5C"/>
    <w:rsid w:val="0050622D"/>
    <w:rsid w:val="0051168D"/>
    <w:rsid w:val="00512449"/>
    <w:rsid w:val="0052773B"/>
    <w:rsid w:val="005356D9"/>
    <w:rsid w:val="005447F0"/>
    <w:rsid w:val="005452FF"/>
    <w:rsid w:val="00560437"/>
    <w:rsid w:val="00560796"/>
    <w:rsid w:val="0056794B"/>
    <w:rsid w:val="005704CF"/>
    <w:rsid w:val="00586B7B"/>
    <w:rsid w:val="00590554"/>
    <w:rsid w:val="005A42EC"/>
    <w:rsid w:val="005A7889"/>
    <w:rsid w:val="005C2D88"/>
    <w:rsid w:val="005F6CC9"/>
    <w:rsid w:val="00610096"/>
    <w:rsid w:val="0064436D"/>
    <w:rsid w:val="00663D4B"/>
    <w:rsid w:val="00671F06"/>
    <w:rsid w:val="0068237A"/>
    <w:rsid w:val="00694F98"/>
    <w:rsid w:val="0069665D"/>
    <w:rsid w:val="006B4809"/>
    <w:rsid w:val="006B58DB"/>
    <w:rsid w:val="006C19CE"/>
    <w:rsid w:val="006C47F0"/>
    <w:rsid w:val="006D4211"/>
    <w:rsid w:val="00707153"/>
    <w:rsid w:val="00710F06"/>
    <w:rsid w:val="00721FE9"/>
    <w:rsid w:val="007376DE"/>
    <w:rsid w:val="00750215"/>
    <w:rsid w:val="00760A24"/>
    <w:rsid w:val="0076194C"/>
    <w:rsid w:val="007836D9"/>
    <w:rsid w:val="00787D32"/>
    <w:rsid w:val="00791BA3"/>
    <w:rsid w:val="007954DF"/>
    <w:rsid w:val="007D31C2"/>
    <w:rsid w:val="007E335D"/>
    <w:rsid w:val="007E705B"/>
    <w:rsid w:val="007E79AE"/>
    <w:rsid w:val="007F268A"/>
    <w:rsid w:val="00800D49"/>
    <w:rsid w:val="00822A5F"/>
    <w:rsid w:val="00822EC3"/>
    <w:rsid w:val="008355D2"/>
    <w:rsid w:val="00854544"/>
    <w:rsid w:val="00854628"/>
    <w:rsid w:val="00880861"/>
    <w:rsid w:val="00886E59"/>
    <w:rsid w:val="008C06E7"/>
    <w:rsid w:val="008D047E"/>
    <w:rsid w:val="008D2A93"/>
    <w:rsid w:val="008E461D"/>
    <w:rsid w:val="008F163B"/>
    <w:rsid w:val="008F4624"/>
    <w:rsid w:val="008F7C4A"/>
    <w:rsid w:val="0090324F"/>
    <w:rsid w:val="0091245A"/>
    <w:rsid w:val="00913DDA"/>
    <w:rsid w:val="0091596C"/>
    <w:rsid w:val="00921B0B"/>
    <w:rsid w:val="009444E6"/>
    <w:rsid w:val="009452E9"/>
    <w:rsid w:val="0096553C"/>
    <w:rsid w:val="00966E65"/>
    <w:rsid w:val="0098703C"/>
    <w:rsid w:val="00990AAB"/>
    <w:rsid w:val="009929BF"/>
    <w:rsid w:val="009A1B71"/>
    <w:rsid w:val="009A43C0"/>
    <w:rsid w:val="009F4FA2"/>
    <w:rsid w:val="00A01388"/>
    <w:rsid w:val="00A05F83"/>
    <w:rsid w:val="00A21A45"/>
    <w:rsid w:val="00A375FC"/>
    <w:rsid w:val="00A43C38"/>
    <w:rsid w:val="00A45E6E"/>
    <w:rsid w:val="00A610CE"/>
    <w:rsid w:val="00A7056B"/>
    <w:rsid w:val="00A732F5"/>
    <w:rsid w:val="00A771FF"/>
    <w:rsid w:val="00A80269"/>
    <w:rsid w:val="00A80703"/>
    <w:rsid w:val="00A80EA4"/>
    <w:rsid w:val="00A8184F"/>
    <w:rsid w:val="00A91ADC"/>
    <w:rsid w:val="00A94554"/>
    <w:rsid w:val="00A964A2"/>
    <w:rsid w:val="00AA1CFC"/>
    <w:rsid w:val="00AB1E20"/>
    <w:rsid w:val="00AB5737"/>
    <w:rsid w:val="00AB7027"/>
    <w:rsid w:val="00AC6CE9"/>
    <w:rsid w:val="00AD2964"/>
    <w:rsid w:val="00B05A2F"/>
    <w:rsid w:val="00B34A35"/>
    <w:rsid w:val="00B516B7"/>
    <w:rsid w:val="00B51F4C"/>
    <w:rsid w:val="00B53CC0"/>
    <w:rsid w:val="00B72FD4"/>
    <w:rsid w:val="00B7715D"/>
    <w:rsid w:val="00B839B7"/>
    <w:rsid w:val="00B84681"/>
    <w:rsid w:val="00BB0DBF"/>
    <w:rsid w:val="00BB35C7"/>
    <w:rsid w:val="00BD47EC"/>
    <w:rsid w:val="00BD65FD"/>
    <w:rsid w:val="00C1072C"/>
    <w:rsid w:val="00C14E27"/>
    <w:rsid w:val="00C24AF8"/>
    <w:rsid w:val="00C33104"/>
    <w:rsid w:val="00C35736"/>
    <w:rsid w:val="00C4317D"/>
    <w:rsid w:val="00C458C6"/>
    <w:rsid w:val="00C573F7"/>
    <w:rsid w:val="00C66042"/>
    <w:rsid w:val="00C72555"/>
    <w:rsid w:val="00C765C7"/>
    <w:rsid w:val="00C84FBB"/>
    <w:rsid w:val="00CA589B"/>
    <w:rsid w:val="00CC49C9"/>
    <w:rsid w:val="00CC7BD9"/>
    <w:rsid w:val="00CD5840"/>
    <w:rsid w:val="00CF055A"/>
    <w:rsid w:val="00D01DD3"/>
    <w:rsid w:val="00D24865"/>
    <w:rsid w:val="00D26D9B"/>
    <w:rsid w:val="00D401D3"/>
    <w:rsid w:val="00D45A7E"/>
    <w:rsid w:val="00D4736D"/>
    <w:rsid w:val="00D500BB"/>
    <w:rsid w:val="00D50F89"/>
    <w:rsid w:val="00D8003C"/>
    <w:rsid w:val="00D8653C"/>
    <w:rsid w:val="00D94067"/>
    <w:rsid w:val="00DA06BD"/>
    <w:rsid w:val="00DA3F04"/>
    <w:rsid w:val="00DE596B"/>
    <w:rsid w:val="00DE5BF4"/>
    <w:rsid w:val="00DF4F30"/>
    <w:rsid w:val="00DF7035"/>
    <w:rsid w:val="00E109C3"/>
    <w:rsid w:val="00E16987"/>
    <w:rsid w:val="00E170E1"/>
    <w:rsid w:val="00E251C6"/>
    <w:rsid w:val="00E33683"/>
    <w:rsid w:val="00E659A9"/>
    <w:rsid w:val="00E67AB4"/>
    <w:rsid w:val="00E856B1"/>
    <w:rsid w:val="00E977A7"/>
    <w:rsid w:val="00EA36AC"/>
    <w:rsid w:val="00EB14E0"/>
    <w:rsid w:val="00EB5530"/>
    <w:rsid w:val="00EB7DE8"/>
    <w:rsid w:val="00ED628F"/>
    <w:rsid w:val="00EE0D08"/>
    <w:rsid w:val="00EF2AD5"/>
    <w:rsid w:val="00F01A5F"/>
    <w:rsid w:val="00F0745D"/>
    <w:rsid w:val="00F30605"/>
    <w:rsid w:val="00F351F9"/>
    <w:rsid w:val="00F45958"/>
    <w:rsid w:val="00F524BE"/>
    <w:rsid w:val="00F54979"/>
    <w:rsid w:val="00F63D51"/>
    <w:rsid w:val="00F7265B"/>
    <w:rsid w:val="00F82F5C"/>
    <w:rsid w:val="00F875E5"/>
    <w:rsid w:val="00F87D42"/>
    <w:rsid w:val="00F90633"/>
    <w:rsid w:val="00F92EB5"/>
    <w:rsid w:val="00F96D4C"/>
    <w:rsid w:val="00FA2EAF"/>
    <w:rsid w:val="00FA74DC"/>
    <w:rsid w:val="00FC3544"/>
    <w:rsid w:val="00FF1913"/>
    <w:rsid w:val="00FF3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1692-3640-4AE8-9D0A-06F4C7B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E0"/>
  </w:style>
  <w:style w:type="paragraph" w:styleId="Rubrik1">
    <w:name w:val="heading 1"/>
    <w:basedOn w:val="Normal"/>
    <w:next w:val="Normal"/>
    <w:link w:val="Rubrik1Char"/>
    <w:uiPriority w:val="9"/>
    <w:qFormat/>
    <w:rsid w:val="00030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A1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43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30B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30BDD"/>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030BD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A1CFC"/>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59"/>
    <w:rsid w:val="00AA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Normaltabell"/>
    <w:next w:val="Tabellrutnt"/>
    <w:uiPriority w:val="59"/>
    <w:rsid w:val="00DA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Normaltabell"/>
    <w:next w:val="Tabellrutnt"/>
    <w:uiPriority w:val="59"/>
    <w:rsid w:val="00C3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443001"/>
    <w:rPr>
      <w:rFonts w:asciiTheme="majorHAnsi" w:eastAsiaTheme="majorEastAsia" w:hAnsiTheme="majorHAnsi" w:cstheme="majorBidi"/>
      <w:b/>
      <w:bCs/>
      <w:color w:val="4F81BD" w:themeColor="accent1"/>
    </w:rPr>
  </w:style>
  <w:style w:type="table" w:customStyle="1" w:styleId="Tabelraster3">
    <w:name w:val="Tabelraster3"/>
    <w:basedOn w:val="Normaltabell"/>
    <w:next w:val="Tabellrutnt"/>
    <w:uiPriority w:val="59"/>
    <w:rsid w:val="0044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Normaltabell"/>
    <w:next w:val="Tabellrutnt"/>
    <w:uiPriority w:val="59"/>
    <w:rsid w:val="006B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Normaltabell"/>
    <w:next w:val="Tabellrutnt"/>
    <w:uiPriority w:val="59"/>
    <w:rsid w:val="00C7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Normaltabell"/>
    <w:next w:val="Tabellrutnt"/>
    <w:uiPriority w:val="59"/>
    <w:rsid w:val="00BB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C0687"/>
    <w:pPr>
      <w:ind w:left="720"/>
      <w:contextualSpacing/>
    </w:pPr>
  </w:style>
  <w:style w:type="table" w:customStyle="1" w:styleId="Tabelraster7">
    <w:name w:val="Tabelraster7"/>
    <w:basedOn w:val="Normaltabell"/>
    <w:next w:val="Tabellrutnt"/>
    <w:uiPriority w:val="59"/>
    <w:rsid w:val="0070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semiHidden/>
    <w:unhideWhenUsed/>
    <w:rsid w:val="0038542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8542B"/>
  </w:style>
  <w:style w:type="table" w:customStyle="1" w:styleId="Tabelraster8">
    <w:name w:val="Tabelraster8"/>
    <w:basedOn w:val="Normaltabell"/>
    <w:next w:val="Tabellrutnt"/>
    <w:uiPriority w:val="59"/>
    <w:rsid w:val="0038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38542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8542B"/>
    <w:rPr>
      <w:sz w:val="20"/>
      <w:szCs w:val="20"/>
    </w:rPr>
  </w:style>
  <w:style w:type="character" w:styleId="Fotnotsreferens">
    <w:name w:val="footnote reference"/>
    <w:basedOn w:val="Standardstycketeckensnitt"/>
    <w:uiPriority w:val="99"/>
    <w:semiHidden/>
    <w:unhideWhenUsed/>
    <w:rsid w:val="0038542B"/>
    <w:rPr>
      <w:vertAlign w:val="superscript"/>
    </w:rPr>
  </w:style>
  <w:style w:type="paragraph" w:styleId="Ballongtext">
    <w:name w:val="Balloon Text"/>
    <w:basedOn w:val="Normal"/>
    <w:link w:val="BallongtextChar"/>
    <w:uiPriority w:val="99"/>
    <w:semiHidden/>
    <w:unhideWhenUsed/>
    <w:rsid w:val="00AD29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2964"/>
    <w:rPr>
      <w:rFonts w:ascii="Tahoma" w:hAnsi="Tahoma" w:cs="Tahoma"/>
      <w:sz w:val="16"/>
      <w:szCs w:val="16"/>
    </w:rPr>
  </w:style>
  <w:style w:type="character" w:styleId="Kommentarsreferens">
    <w:name w:val="annotation reference"/>
    <w:basedOn w:val="Standardstycketeckensnitt"/>
    <w:uiPriority w:val="99"/>
    <w:semiHidden/>
    <w:unhideWhenUsed/>
    <w:rsid w:val="00E977A7"/>
    <w:rPr>
      <w:sz w:val="16"/>
      <w:szCs w:val="16"/>
    </w:rPr>
  </w:style>
  <w:style w:type="paragraph" w:styleId="Kommentarer">
    <w:name w:val="annotation text"/>
    <w:basedOn w:val="Normal"/>
    <w:link w:val="KommentarerChar"/>
    <w:uiPriority w:val="99"/>
    <w:semiHidden/>
    <w:unhideWhenUsed/>
    <w:rsid w:val="00E977A7"/>
    <w:pPr>
      <w:spacing w:line="240" w:lineRule="auto"/>
    </w:pPr>
    <w:rPr>
      <w:sz w:val="20"/>
      <w:szCs w:val="20"/>
    </w:rPr>
  </w:style>
  <w:style w:type="character" w:customStyle="1" w:styleId="KommentarerChar">
    <w:name w:val="Kommentarer Char"/>
    <w:basedOn w:val="Standardstycketeckensnitt"/>
    <w:link w:val="Kommentarer"/>
    <w:uiPriority w:val="99"/>
    <w:semiHidden/>
    <w:rsid w:val="00E977A7"/>
    <w:rPr>
      <w:sz w:val="20"/>
      <w:szCs w:val="20"/>
    </w:rPr>
  </w:style>
  <w:style w:type="paragraph" w:styleId="Kommentarsmne">
    <w:name w:val="annotation subject"/>
    <w:basedOn w:val="Kommentarer"/>
    <w:next w:val="Kommentarer"/>
    <w:link w:val="KommentarsmneChar"/>
    <w:uiPriority w:val="99"/>
    <w:semiHidden/>
    <w:unhideWhenUsed/>
    <w:rsid w:val="00E977A7"/>
    <w:rPr>
      <w:b/>
      <w:bCs/>
    </w:rPr>
  </w:style>
  <w:style w:type="character" w:customStyle="1" w:styleId="KommentarsmneChar">
    <w:name w:val="Kommentarsämne Char"/>
    <w:basedOn w:val="KommentarerChar"/>
    <w:link w:val="Kommentarsmne"/>
    <w:uiPriority w:val="99"/>
    <w:semiHidden/>
    <w:rsid w:val="00E97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AE37-DFDB-4E1B-9859-ED5B5BF6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7233</Characters>
  <Application>Microsoft Office Word</Application>
  <DocSecurity>4</DocSecurity>
  <Lines>60</Lines>
  <Paragraphs>17</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Algemene Rekenkamer</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Ina de</dc:creator>
  <cp:lastModifiedBy>Gårdmark, Johanna</cp:lastModifiedBy>
  <cp:revision>2</cp:revision>
  <cp:lastPrinted>2016-09-13T08:53:00Z</cp:lastPrinted>
  <dcterms:created xsi:type="dcterms:W3CDTF">2016-09-16T07:40:00Z</dcterms:created>
  <dcterms:modified xsi:type="dcterms:W3CDTF">2016-09-16T07:40:00Z</dcterms:modified>
</cp:coreProperties>
</file>