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5AAE" w14:textId="46F50FC3" w:rsidR="00513119" w:rsidRPr="00850291" w:rsidRDefault="009320F7" w:rsidP="00850291">
      <w:pPr>
        <w:spacing w:after="120" w:line="240" w:lineRule="auto"/>
        <w:rPr>
          <w:rFonts w:ascii="Calibri" w:eastAsia="Times New Roman" w:hAnsi="Calibri" w:cs="Times New Roman"/>
          <w:color w:val="244061" w:themeColor="accent1" w:themeShade="80"/>
          <w:sz w:val="36"/>
          <w:szCs w:val="24"/>
          <w:lang w:val="en-US"/>
        </w:rPr>
      </w:pPr>
      <w:r w:rsidRPr="003F1F75">
        <w:rPr>
          <w:rFonts w:ascii="Calibri" w:eastAsia="Times New Roman" w:hAnsi="Calibri" w:cs="Times New Roman"/>
          <w:noProof/>
          <w:color w:val="244061" w:themeColor="accent1" w:themeShade="80"/>
          <w:sz w:val="36"/>
          <w:szCs w:val="24"/>
          <w:lang w:val="en-GB" w:eastAsia="en-GB"/>
        </w:rPr>
        <mc:AlternateContent>
          <mc:Choice Requires="wps">
            <w:drawing>
              <wp:anchor distT="0" distB="0" distL="114300" distR="114300" simplePos="0" relativeHeight="251659264" behindDoc="0" locked="0" layoutInCell="1" allowOverlap="1" wp14:anchorId="3CF1A451" wp14:editId="6895186B">
                <wp:simplePos x="0" y="0"/>
                <wp:positionH relativeFrom="column">
                  <wp:posOffset>5885280</wp:posOffset>
                </wp:positionH>
                <wp:positionV relativeFrom="paragraph">
                  <wp:posOffset>-437248</wp:posOffset>
                </wp:positionV>
                <wp:extent cx="3167143" cy="1493520"/>
                <wp:effectExtent l="0" t="0" r="1460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143" cy="1493520"/>
                        </a:xfrm>
                        <a:prstGeom prst="rect">
                          <a:avLst/>
                        </a:prstGeom>
                        <a:solidFill>
                          <a:srgbClr val="FFFFFF"/>
                        </a:solidFill>
                        <a:ln w="9525">
                          <a:solidFill>
                            <a:schemeClr val="bg1">
                              <a:lumMod val="50000"/>
                            </a:schemeClr>
                          </a:solidFill>
                          <a:miter lim="800000"/>
                          <a:headEnd/>
                          <a:tailEnd/>
                        </a:ln>
                      </wps:spPr>
                      <wps:txbx>
                        <w:txbxContent>
                          <w:p w14:paraId="7D499B22" w14:textId="77777777" w:rsidR="00A23BA0" w:rsidRPr="00271368" w:rsidRDefault="00A23BA0" w:rsidP="009F715C">
                            <w:pPr>
                              <w:spacing w:after="40"/>
                              <w:jc w:val="center"/>
                              <w:rPr>
                                <w:b/>
                                <w:i/>
                                <w:color w:val="404040" w:themeColor="text1" w:themeTint="BF"/>
                                <w:sz w:val="20"/>
                              </w:rPr>
                            </w:pPr>
                            <w:r w:rsidRPr="00271368">
                              <w:rPr>
                                <w:b/>
                                <w:i/>
                                <w:color w:val="404040" w:themeColor="text1" w:themeTint="BF"/>
                                <w:sz w:val="20"/>
                              </w:rPr>
                              <w:t>Key to progress indicator colours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00"/>
                              <w:gridCol w:w="3890"/>
                            </w:tblGrid>
                            <w:tr w:rsidR="00A23BA0" w:rsidRPr="0015765F" w14:paraId="72CE5264" w14:textId="77777777" w:rsidTr="007F044E">
                              <w:tc>
                                <w:tcPr>
                                  <w:tcW w:w="817" w:type="dxa"/>
                                  <w:shd w:val="clear" w:color="auto" w:fill="92D050"/>
                                </w:tcPr>
                                <w:p w14:paraId="0BD16981" w14:textId="77777777" w:rsidR="00A23BA0" w:rsidRDefault="00A23BA0"/>
                              </w:tc>
                              <w:tc>
                                <w:tcPr>
                                  <w:tcW w:w="3969" w:type="dxa"/>
                                </w:tcPr>
                                <w:p w14:paraId="7BC940F8" w14:textId="77777777" w:rsidR="00A23BA0" w:rsidRPr="0015765F" w:rsidRDefault="00A23BA0">
                                  <w:pPr>
                                    <w:rPr>
                                      <w:rFonts w:asciiTheme="minorHAnsi" w:hAnsiTheme="minorHAnsi" w:cstheme="minorHAnsi"/>
                                    </w:rPr>
                                  </w:pPr>
                                  <w:r w:rsidRPr="0015765F">
                                    <w:rPr>
                                      <w:rFonts w:asciiTheme="minorHAnsi" w:hAnsiTheme="minorHAnsi" w:cstheme="minorHAnsi"/>
                                    </w:rPr>
                                    <w:t xml:space="preserve">Initiatives / projects on schedule </w:t>
                                  </w:r>
                                </w:p>
                              </w:tc>
                            </w:tr>
                            <w:tr w:rsidR="00A23BA0" w:rsidRPr="0015765F" w14:paraId="67CF9E58" w14:textId="77777777" w:rsidTr="007F044E">
                              <w:tc>
                                <w:tcPr>
                                  <w:tcW w:w="817" w:type="dxa"/>
                                  <w:shd w:val="clear" w:color="auto" w:fill="FFC000"/>
                                </w:tcPr>
                                <w:p w14:paraId="703BC089" w14:textId="77777777" w:rsidR="00A23BA0" w:rsidRDefault="00A23BA0"/>
                              </w:tc>
                              <w:tc>
                                <w:tcPr>
                                  <w:tcW w:w="3969" w:type="dxa"/>
                                </w:tcPr>
                                <w:p w14:paraId="3F562B80" w14:textId="77777777" w:rsidR="00A23BA0" w:rsidRPr="0015765F" w:rsidRDefault="00A23BA0">
                                  <w:pPr>
                                    <w:rPr>
                                      <w:rFonts w:asciiTheme="minorHAnsi" w:hAnsiTheme="minorHAnsi" w:cstheme="minorHAnsi"/>
                                    </w:rPr>
                                  </w:pPr>
                                  <w:r w:rsidRPr="0015765F">
                                    <w:rPr>
                                      <w:rFonts w:asciiTheme="minorHAnsi" w:hAnsiTheme="minorHAnsi" w:cstheme="minorHAnsi"/>
                                    </w:rPr>
                                    <w:t>Initiatives / projects behind schedule</w:t>
                                  </w:r>
                                </w:p>
                              </w:tc>
                            </w:tr>
                            <w:tr w:rsidR="00A23BA0" w:rsidRPr="0015765F" w14:paraId="0CE6DFF9" w14:textId="77777777" w:rsidTr="00AB24B0">
                              <w:tc>
                                <w:tcPr>
                                  <w:tcW w:w="817" w:type="dxa"/>
                                  <w:shd w:val="clear" w:color="auto" w:fill="7030A0"/>
                                </w:tcPr>
                                <w:p w14:paraId="22FA95CC" w14:textId="77777777" w:rsidR="00A23BA0" w:rsidRDefault="00A23BA0"/>
                              </w:tc>
                              <w:tc>
                                <w:tcPr>
                                  <w:tcW w:w="3969" w:type="dxa"/>
                                </w:tcPr>
                                <w:p w14:paraId="0251884F" w14:textId="77777777" w:rsidR="00A23BA0" w:rsidRPr="0015765F" w:rsidRDefault="00A23BA0" w:rsidP="002422DD">
                                  <w:pPr>
                                    <w:rPr>
                                      <w:rFonts w:asciiTheme="minorHAnsi" w:hAnsiTheme="minorHAnsi" w:cstheme="minorHAnsi"/>
                                    </w:rPr>
                                  </w:pPr>
                                  <w:r>
                                    <w:rPr>
                                      <w:rFonts w:asciiTheme="minorHAnsi" w:hAnsiTheme="minorHAnsi" w:cstheme="minorHAnsi"/>
                                    </w:rPr>
                                    <w:t>Delayed owing to reasons beyond control</w:t>
                                  </w:r>
                                  <w:r w:rsidRPr="0015765F">
                                    <w:rPr>
                                      <w:rFonts w:asciiTheme="minorHAnsi" w:hAnsiTheme="minorHAnsi" w:cstheme="minorHAnsi"/>
                                    </w:rPr>
                                    <w:t xml:space="preserve"> </w:t>
                                  </w:r>
                                </w:p>
                              </w:tc>
                            </w:tr>
                            <w:tr w:rsidR="00A23BA0" w:rsidRPr="0015765F" w14:paraId="1CFC1988" w14:textId="77777777" w:rsidTr="007F044E">
                              <w:tc>
                                <w:tcPr>
                                  <w:tcW w:w="817" w:type="dxa"/>
                                  <w:shd w:val="clear" w:color="auto" w:fill="FF0000"/>
                                </w:tcPr>
                                <w:p w14:paraId="102AF974" w14:textId="77777777" w:rsidR="00A23BA0" w:rsidRDefault="00A23BA0"/>
                              </w:tc>
                              <w:tc>
                                <w:tcPr>
                                  <w:tcW w:w="3969" w:type="dxa"/>
                                </w:tcPr>
                                <w:p w14:paraId="5BB07EC4" w14:textId="77777777" w:rsidR="00A23BA0" w:rsidRPr="0015765F" w:rsidRDefault="00A23BA0" w:rsidP="007A2148">
                                  <w:pPr>
                                    <w:rPr>
                                      <w:rFonts w:asciiTheme="minorHAnsi" w:hAnsiTheme="minorHAnsi" w:cstheme="minorHAnsi"/>
                                    </w:rPr>
                                  </w:pPr>
                                  <w:r w:rsidRPr="007A2148">
                                    <w:rPr>
                                      <w:rFonts w:asciiTheme="minorHAnsi" w:hAnsiTheme="minorHAnsi" w:cstheme="minorHAnsi"/>
                                    </w:rPr>
                                    <w:t>Serious</w:t>
                                  </w:r>
                                  <w:r>
                                    <w:rPr>
                                      <w:rFonts w:asciiTheme="minorHAnsi" w:hAnsiTheme="minorHAnsi" w:cstheme="minorHAnsi"/>
                                    </w:rPr>
                                    <w:t xml:space="preserve"> difficulties being experienced</w:t>
                                  </w:r>
                                </w:p>
                              </w:tc>
                            </w:tr>
                            <w:tr w:rsidR="00A23BA0" w:rsidRPr="0015765F" w14:paraId="056EC371" w14:textId="77777777" w:rsidTr="007F044E">
                              <w:tc>
                                <w:tcPr>
                                  <w:tcW w:w="817" w:type="dxa"/>
                                  <w:shd w:val="clear" w:color="auto" w:fill="00CCFF"/>
                                </w:tcPr>
                                <w:p w14:paraId="0E6C3CFE" w14:textId="77777777" w:rsidR="00A23BA0" w:rsidRDefault="00A23BA0" w:rsidP="00A23BA0"/>
                              </w:tc>
                              <w:tc>
                                <w:tcPr>
                                  <w:tcW w:w="3969" w:type="dxa"/>
                                </w:tcPr>
                                <w:p w14:paraId="696C93CB" w14:textId="77777777" w:rsidR="00A23BA0" w:rsidRPr="0015765F" w:rsidRDefault="00A23BA0" w:rsidP="00A23BA0">
                                  <w:pPr>
                                    <w:rPr>
                                      <w:rFonts w:asciiTheme="minorHAnsi" w:hAnsiTheme="minorHAnsi" w:cstheme="minorHAnsi"/>
                                    </w:rPr>
                                  </w:pPr>
                                  <w:r w:rsidRPr="0015765F">
                                    <w:rPr>
                                      <w:rFonts w:asciiTheme="minorHAnsi" w:hAnsiTheme="minorHAnsi" w:cstheme="minorHAnsi"/>
                                    </w:rPr>
                                    <w:t>Not yet scheduled to start</w:t>
                                  </w:r>
                                </w:p>
                              </w:tc>
                            </w:tr>
                            <w:tr w:rsidR="00A23BA0" w:rsidRPr="0015765F" w14:paraId="1DB95860" w14:textId="77777777" w:rsidTr="007F044E">
                              <w:tc>
                                <w:tcPr>
                                  <w:tcW w:w="817" w:type="dxa"/>
                                  <w:shd w:val="clear" w:color="auto" w:fill="404040" w:themeFill="text1" w:themeFillTint="BF"/>
                                </w:tcPr>
                                <w:p w14:paraId="054C80B9" w14:textId="77777777" w:rsidR="00A23BA0" w:rsidRDefault="00A23BA0"/>
                              </w:tc>
                              <w:tc>
                                <w:tcPr>
                                  <w:tcW w:w="3969" w:type="dxa"/>
                                </w:tcPr>
                                <w:p w14:paraId="62F2F54C" w14:textId="0B68C4B6" w:rsidR="00A23BA0" w:rsidRPr="0015765F" w:rsidRDefault="00EA780B">
                                  <w:pPr>
                                    <w:rPr>
                                      <w:rFonts w:cstheme="minorHAnsi"/>
                                    </w:rPr>
                                  </w:pPr>
                                  <w:r w:rsidRPr="0015765F">
                                    <w:rPr>
                                      <w:rFonts w:asciiTheme="minorHAnsi" w:hAnsiTheme="minorHAnsi" w:cstheme="minorHAnsi"/>
                                    </w:rPr>
                                    <w:t>Initiatives /</w:t>
                                  </w:r>
                                  <w:r w:rsidR="00A23BA0" w:rsidRPr="0015765F">
                                    <w:rPr>
                                      <w:rFonts w:asciiTheme="minorHAnsi" w:hAnsiTheme="minorHAnsi" w:cstheme="minorHAnsi"/>
                                    </w:rPr>
                                    <w:t xml:space="preserve"> projects completed</w:t>
                                  </w:r>
                                </w:p>
                              </w:tc>
                            </w:tr>
                          </w:tbl>
                          <w:p w14:paraId="6A8026B3" w14:textId="77777777" w:rsidR="00A23BA0" w:rsidRDefault="00A23B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1A451" id="_x0000_t202" coordsize="21600,21600" o:spt="202" path="m,l,21600r21600,l21600,xe">
                <v:stroke joinstyle="miter"/>
                <v:path gradientshapeok="t" o:connecttype="rect"/>
              </v:shapetype>
              <v:shape id="Text Box 2" o:spid="_x0000_s1026" type="#_x0000_t202" style="position:absolute;margin-left:463.4pt;margin-top:-34.45pt;width:249.4pt;height:1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NpJgIAAEMEAAAOAAAAZHJzL2Uyb0RvYy54bWysU9tu2zAMfR+wfxD0vjjOpW2MOEWXLsOA&#10;7gJ0+wBZlm1hkqhJSuzu60fJSZp2b8P0IIgidcRzSK5vB63IQTgvwZQ0n0wpEYZDLU1b0h/fd+9u&#10;KPGBmZopMKKkT8LT283bN+veFmIGHahaOIIgxhe9LWkXgi2yzPNOaOYnYIVBZwNOs4Cma7PasR7R&#10;tcpm0+lV1oOrrQMuvMfb+9FJNwm/aQQPX5vGi0BUSTG3kHaX9iru2WbNitYx20l+TIP9QxaaSYOf&#10;nqHuWWBk7+RfUFpyBx6aMOGgM2gayUXigGzy6Ss2jx2zInFBcbw9y+T/Hyz/cni03xwJw3sYsICJ&#10;hLcPwH96YmDbMdOKO+eg7wSr8eM8Spb11hfHp1FqX/gIUvWfocYis32ABDQ0TkdVkCdBdCzA01l0&#10;MQTC8XKeX13nizklHH35YjVfzlJZMlacnlvnw0cBmsRDSR1WNcGzw4MPMR1WnELibx6UrHdSqWS4&#10;ttoqRw4MO2CXVmLwKkwZ0pd0tZwtRwVeQMRmFGeQqh1VUnuNdEfg5RTXCfcUnhJ7kYyWAbtdSV3S&#10;m/ji2H9R2g+mTr0YmFTjGVkpc9Q6yjsKHYZqwMCoeQX1E6ruYOxqnEI8dOB+U9JjR5fU/9ozJyhR&#10;nwxWbpUvFnEEkrFYXqPMxF16qksPMxyhShooGY/bkMYmamrgDivcyKT9cybHXLFTE/PjVMVRuLRT&#10;1PPsb/4AAAD//wMAUEsDBBQABgAIAAAAIQCzzj1y3wAAAAwBAAAPAAAAZHJzL2Rvd25yZXYueG1s&#10;TI/BTsMwEETvSPyDtUjcWocUrCaNU1VIiF7T9gPceJtEtdchdpPA1+Oe4LajHc28KbazNWzEwXeO&#10;JLwsE2BItdMdNRJOx4/FGpgPirQyjlDCN3rYlo8Phcq1m6jC8RAaFkPI50pCG0Kfc+7rFq3yS9cj&#10;xd/FDVaFKIeG60FNMdwaniaJ4FZ1FBta1eN7i/X1cLMS3DSeBP/6NH5f/VSXfdbtVqaT8vlp3m2A&#10;BZzDnxnu+BEdysh0djfSnhkJWSoiepCwEOsM2N3xmr4JYOd4CbECXhb8/4jyFwAA//8DAFBLAQIt&#10;ABQABgAIAAAAIQC2gziS/gAAAOEBAAATAAAAAAAAAAAAAAAAAAAAAABbQ29udGVudF9UeXBlc10u&#10;eG1sUEsBAi0AFAAGAAgAAAAhADj9If/WAAAAlAEAAAsAAAAAAAAAAAAAAAAALwEAAF9yZWxzLy5y&#10;ZWxzUEsBAi0AFAAGAAgAAAAhAN6WQ2kmAgAAQwQAAA4AAAAAAAAAAAAAAAAALgIAAGRycy9lMm9E&#10;b2MueG1sUEsBAi0AFAAGAAgAAAAhALPOPXLfAAAADAEAAA8AAAAAAAAAAAAAAAAAgAQAAGRycy9k&#10;b3ducmV2LnhtbFBLBQYAAAAABAAEAPMAAACMBQAAAAA=&#10;" strokecolor="#7f7f7f [1612]">
                <v:textbox>
                  <w:txbxContent>
                    <w:p w14:paraId="7D499B22" w14:textId="77777777" w:rsidR="00A23BA0" w:rsidRPr="00271368" w:rsidRDefault="00A23BA0" w:rsidP="009F715C">
                      <w:pPr>
                        <w:spacing w:after="40"/>
                        <w:jc w:val="center"/>
                        <w:rPr>
                          <w:b/>
                          <w:i/>
                          <w:color w:val="404040" w:themeColor="text1" w:themeTint="BF"/>
                          <w:sz w:val="20"/>
                        </w:rPr>
                      </w:pPr>
                      <w:r w:rsidRPr="00271368">
                        <w:rPr>
                          <w:b/>
                          <w:i/>
                          <w:color w:val="404040" w:themeColor="text1" w:themeTint="BF"/>
                          <w:sz w:val="20"/>
                        </w:rPr>
                        <w:t>Key to progress indicator colours</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800"/>
                        <w:gridCol w:w="3890"/>
                      </w:tblGrid>
                      <w:tr w:rsidR="00A23BA0" w:rsidRPr="0015765F" w14:paraId="72CE5264" w14:textId="77777777" w:rsidTr="007F044E">
                        <w:tc>
                          <w:tcPr>
                            <w:tcW w:w="817" w:type="dxa"/>
                            <w:shd w:val="clear" w:color="auto" w:fill="92D050"/>
                          </w:tcPr>
                          <w:p w14:paraId="0BD16981" w14:textId="77777777" w:rsidR="00A23BA0" w:rsidRDefault="00A23BA0"/>
                        </w:tc>
                        <w:tc>
                          <w:tcPr>
                            <w:tcW w:w="3969" w:type="dxa"/>
                          </w:tcPr>
                          <w:p w14:paraId="7BC940F8" w14:textId="77777777" w:rsidR="00A23BA0" w:rsidRPr="0015765F" w:rsidRDefault="00A23BA0">
                            <w:pPr>
                              <w:rPr>
                                <w:rFonts w:asciiTheme="minorHAnsi" w:hAnsiTheme="minorHAnsi" w:cstheme="minorHAnsi"/>
                              </w:rPr>
                            </w:pPr>
                            <w:r w:rsidRPr="0015765F">
                              <w:rPr>
                                <w:rFonts w:asciiTheme="minorHAnsi" w:hAnsiTheme="minorHAnsi" w:cstheme="minorHAnsi"/>
                              </w:rPr>
                              <w:t xml:space="preserve">Initiatives / projects on schedule </w:t>
                            </w:r>
                          </w:p>
                        </w:tc>
                      </w:tr>
                      <w:tr w:rsidR="00A23BA0" w:rsidRPr="0015765F" w14:paraId="67CF9E58" w14:textId="77777777" w:rsidTr="007F044E">
                        <w:tc>
                          <w:tcPr>
                            <w:tcW w:w="817" w:type="dxa"/>
                            <w:shd w:val="clear" w:color="auto" w:fill="FFC000"/>
                          </w:tcPr>
                          <w:p w14:paraId="703BC089" w14:textId="77777777" w:rsidR="00A23BA0" w:rsidRDefault="00A23BA0"/>
                        </w:tc>
                        <w:tc>
                          <w:tcPr>
                            <w:tcW w:w="3969" w:type="dxa"/>
                          </w:tcPr>
                          <w:p w14:paraId="3F562B80" w14:textId="77777777" w:rsidR="00A23BA0" w:rsidRPr="0015765F" w:rsidRDefault="00A23BA0">
                            <w:pPr>
                              <w:rPr>
                                <w:rFonts w:asciiTheme="minorHAnsi" w:hAnsiTheme="minorHAnsi" w:cstheme="minorHAnsi"/>
                              </w:rPr>
                            </w:pPr>
                            <w:r w:rsidRPr="0015765F">
                              <w:rPr>
                                <w:rFonts w:asciiTheme="minorHAnsi" w:hAnsiTheme="minorHAnsi" w:cstheme="minorHAnsi"/>
                              </w:rPr>
                              <w:t>Initiatives / projects behind schedule</w:t>
                            </w:r>
                          </w:p>
                        </w:tc>
                      </w:tr>
                      <w:tr w:rsidR="00A23BA0" w:rsidRPr="0015765F" w14:paraId="0CE6DFF9" w14:textId="77777777" w:rsidTr="00AB24B0">
                        <w:tc>
                          <w:tcPr>
                            <w:tcW w:w="817" w:type="dxa"/>
                            <w:shd w:val="clear" w:color="auto" w:fill="7030A0"/>
                          </w:tcPr>
                          <w:p w14:paraId="22FA95CC" w14:textId="77777777" w:rsidR="00A23BA0" w:rsidRDefault="00A23BA0"/>
                        </w:tc>
                        <w:tc>
                          <w:tcPr>
                            <w:tcW w:w="3969" w:type="dxa"/>
                          </w:tcPr>
                          <w:p w14:paraId="0251884F" w14:textId="77777777" w:rsidR="00A23BA0" w:rsidRPr="0015765F" w:rsidRDefault="00A23BA0" w:rsidP="002422DD">
                            <w:pPr>
                              <w:rPr>
                                <w:rFonts w:asciiTheme="minorHAnsi" w:hAnsiTheme="minorHAnsi" w:cstheme="minorHAnsi"/>
                              </w:rPr>
                            </w:pPr>
                            <w:r>
                              <w:rPr>
                                <w:rFonts w:asciiTheme="minorHAnsi" w:hAnsiTheme="minorHAnsi" w:cstheme="minorHAnsi"/>
                              </w:rPr>
                              <w:t>Delayed owing to reasons beyond control</w:t>
                            </w:r>
                            <w:r w:rsidRPr="0015765F">
                              <w:rPr>
                                <w:rFonts w:asciiTheme="minorHAnsi" w:hAnsiTheme="minorHAnsi" w:cstheme="minorHAnsi"/>
                              </w:rPr>
                              <w:t xml:space="preserve"> </w:t>
                            </w:r>
                          </w:p>
                        </w:tc>
                      </w:tr>
                      <w:tr w:rsidR="00A23BA0" w:rsidRPr="0015765F" w14:paraId="1CFC1988" w14:textId="77777777" w:rsidTr="007F044E">
                        <w:tc>
                          <w:tcPr>
                            <w:tcW w:w="817" w:type="dxa"/>
                            <w:shd w:val="clear" w:color="auto" w:fill="FF0000"/>
                          </w:tcPr>
                          <w:p w14:paraId="102AF974" w14:textId="77777777" w:rsidR="00A23BA0" w:rsidRDefault="00A23BA0"/>
                        </w:tc>
                        <w:tc>
                          <w:tcPr>
                            <w:tcW w:w="3969" w:type="dxa"/>
                          </w:tcPr>
                          <w:p w14:paraId="5BB07EC4" w14:textId="77777777" w:rsidR="00A23BA0" w:rsidRPr="0015765F" w:rsidRDefault="00A23BA0" w:rsidP="007A2148">
                            <w:pPr>
                              <w:rPr>
                                <w:rFonts w:asciiTheme="minorHAnsi" w:hAnsiTheme="minorHAnsi" w:cstheme="minorHAnsi"/>
                              </w:rPr>
                            </w:pPr>
                            <w:r w:rsidRPr="007A2148">
                              <w:rPr>
                                <w:rFonts w:asciiTheme="minorHAnsi" w:hAnsiTheme="minorHAnsi" w:cstheme="minorHAnsi"/>
                              </w:rPr>
                              <w:t>Serious</w:t>
                            </w:r>
                            <w:r>
                              <w:rPr>
                                <w:rFonts w:asciiTheme="minorHAnsi" w:hAnsiTheme="minorHAnsi" w:cstheme="minorHAnsi"/>
                              </w:rPr>
                              <w:t xml:space="preserve"> difficulties being experienced</w:t>
                            </w:r>
                          </w:p>
                        </w:tc>
                      </w:tr>
                      <w:tr w:rsidR="00A23BA0" w:rsidRPr="0015765F" w14:paraId="056EC371" w14:textId="77777777" w:rsidTr="007F044E">
                        <w:tc>
                          <w:tcPr>
                            <w:tcW w:w="817" w:type="dxa"/>
                            <w:shd w:val="clear" w:color="auto" w:fill="00CCFF"/>
                          </w:tcPr>
                          <w:p w14:paraId="0E6C3CFE" w14:textId="77777777" w:rsidR="00A23BA0" w:rsidRDefault="00A23BA0" w:rsidP="00A23BA0"/>
                        </w:tc>
                        <w:tc>
                          <w:tcPr>
                            <w:tcW w:w="3969" w:type="dxa"/>
                          </w:tcPr>
                          <w:p w14:paraId="696C93CB" w14:textId="77777777" w:rsidR="00A23BA0" w:rsidRPr="0015765F" w:rsidRDefault="00A23BA0" w:rsidP="00A23BA0">
                            <w:pPr>
                              <w:rPr>
                                <w:rFonts w:asciiTheme="minorHAnsi" w:hAnsiTheme="minorHAnsi" w:cstheme="minorHAnsi"/>
                              </w:rPr>
                            </w:pPr>
                            <w:r w:rsidRPr="0015765F">
                              <w:rPr>
                                <w:rFonts w:asciiTheme="minorHAnsi" w:hAnsiTheme="minorHAnsi" w:cstheme="minorHAnsi"/>
                              </w:rPr>
                              <w:t>Not yet scheduled to start</w:t>
                            </w:r>
                          </w:p>
                        </w:tc>
                      </w:tr>
                      <w:tr w:rsidR="00A23BA0" w:rsidRPr="0015765F" w14:paraId="1DB95860" w14:textId="77777777" w:rsidTr="007F044E">
                        <w:tc>
                          <w:tcPr>
                            <w:tcW w:w="817" w:type="dxa"/>
                            <w:shd w:val="clear" w:color="auto" w:fill="404040" w:themeFill="text1" w:themeFillTint="BF"/>
                          </w:tcPr>
                          <w:p w14:paraId="054C80B9" w14:textId="77777777" w:rsidR="00A23BA0" w:rsidRDefault="00A23BA0"/>
                        </w:tc>
                        <w:tc>
                          <w:tcPr>
                            <w:tcW w:w="3969" w:type="dxa"/>
                          </w:tcPr>
                          <w:p w14:paraId="62F2F54C" w14:textId="0B68C4B6" w:rsidR="00A23BA0" w:rsidRPr="0015765F" w:rsidRDefault="00EA780B">
                            <w:pPr>
                              <w:rPr>
                                <w:rFonts w:cstheme="minorHAnsi"/>
                              </w:rPr>
                            </w:pPr>
                            <w:r w:rsidRPr="0015765F">
                              <w:rPr>
                                <w:rFonts w:asciiTheme="minorHAnsi" w:hAnsiTheme="minorHAnsi" w:cstheme="minorHAnsi"/>
                              </w:rPr>
                              <w:t>Initiatives /</w:t>
                            </w:r>
                            <w:r w:rsidR="00A23BA0" w:rsidRPr="0015765F">
                              <w:rPr>
                                <w:rFonts w:asciiTheme="minorHAnsi" w:hAnsiTheme="minorHAnsi" w:cstheme="minorHAnsi"/>
                              </w:rPr>
                              <w:t xml:space="preserve"> projects completed</w:t>
                            </w:r>
                          </w:p>
                        </w:tc>
                      </w:tr>
                    </w:tbl>
                    <w:p w14:paraId="6A8026B3" w14:textId="77777777" w:rsidR="00A23BA0" w:rsidRDefault="00A23BA0"/>
                  </w:txbxContent>
                </v:textbox>
              </v:shape>
            </w:pict>
          </mc:Fallback>
        </mc:AlternateContent>
      </w:r>
      <w:r w:rsidR="00F750C9">
        <w:rPr>
          <w:rFonts w:ascii="Calibri" w:eastAsia="Times New Roman" w:hAnsi="Calibri" w:cs="Times New Roman"/>
          <w:i/>
          <w:color w:val="244061" w:themeColor="accent1" w:themeShade="80"/>
          <w:sz w:val="32"/>
          <w:szCs w:val="24"/>
          <w:lang w:val="en-US"/>
        </w:rPr>
        <w:t>CBC work plan</w:t>
      </w:r>
    </w:p>
    <w:p w14:paraId="532E762B" w14:textId="7443F2FB" w:rsidR="00850291" w:rsidRDefault="00EA780B" w:rsidP="001C4A52">
      <w:pPr>
        <w:spacing w:after="120" w:line="240" w:lineRule="auto"/>
        <w:ind w:left="-1134" w:firstLine="720"/>
        <w:rPr>
          <w:rFonts w:ascii="Calibri" w:eastAsia="Times New Roman" w:hAnsi="Calibri" w:cs="Times New Roman"/>
          <w:color w:val="244061" w:themeColor="accent1" w:themeShade="80"/>
          <w:sz w:val="36"/>
          <w:szCs w:val="24"/>
          <w:lang w:val="en-US"/>
        </w:rPr>
      </w:pPr>
      <w:r>
        <w:rPr>
          <w:rFonts w:ascii="Calibri" w:eastAsia="Times New Roman" w:hAnsi="Calibri" w:cs="Times New Roman"/>
          <w:color w:val="244061" w:themeColor="accent1" w:themeShade="80"/>
          <w:sz w:val="36"/>
          <w:szCs w:val="24"/>
          <w:lang w:val="en-US"/>
        </w:rPr>
        <w:t>Taskforce</w:t>
      </w:r>
      <w:r w:rsidR="00B24528">
        <w:rPr>
          <w:rFonts w:ascii="Calibri" w:eastAsia="Times New Roman" w:hAnsi="Calibri" w:cs="Times New Roman"/>
          <w:color w:val="244061" w:themeColor="accent1" w:themeShade="80"/>
          <w:sz w:val="36"/>
          <w:szCs w:val="24"/>
          <w:lang w:val="en-US"/>
        </w:rPr>
        <w:t xml:space="preserve"> on INTOSAI Aud</w:t>
      </w:r>
      <w:r w:rsidR="0046164A">
        <w:rPr>
          <w:rFonts w:ascii="Calibri" w:eastAsia="Times New Roman" w:hAnsi="Calibri" w:cs="Times New Roman"/>
          <w:color w:val="244061" w:themeColor="accent1" w:themeShade="80"/>
          <w:sz w:val="36"/>
          <w:szCs w:val="24"/>
          <w:lang w:val="en-US"/>
        </w:rPr>
        <w:t xml:space="preserve">itor Professionalisation (South Africa) </w:t>
      </w:r>
    </w:p>
    <w:p w14:paraId="78426AA1" w14:textId="36A0D595" w:rsidR="006D331D" w:rsidRPr="001C4A52" w:rsidRDefault="00D104B3" w:rsidP="001C4A52">
      <w:pPr>
        <w:spacing w:after="120" w:line="240" w:lineRule="auto"/>
        <w:ind w:left="-1134" w:firstLine="720"/>
        <w:rPr>
          <w:rFonts w:ascii="Calibri" w:eastAsia="Times New Roman" w:hAnsi="Calibri" w:cs="Times New Roman"/>
          <w:color w:val="244061" w:themeColor="accent1" w:themeShade="80"/>
          <w:sz w:val="36"/>
          <w:szCs w:val="24"/>
          <w:lang w:val="en-US"/>
        </w:rPr>
      </w:pPr>
      <w:r>
        <w:rPr>
          <w:rFonts w:ascii="Calibri" w:eastAsia="Times New Roman" w:hAnsi="Calibri" w:cs="Times New Roman"/>
          <w:b/>
          <w:color w:val="008080"/>
          <w:sz w:val="38"/>
          <w:szCs w:val="38"/>
          <w:lang w:val="en-US"/>
        </w:rPr>
        <w:t>Annual progress r</w:t>
      </w:r>
      <w:r w:rsidR="000808AF" w:rsidRPr="001B0AF0">
        <w:rPr>
          <w:rFonts w:ascii="Calibri" w:eastAsia="Times New Roman" w:hAnsi="Calibri" w:cs="Times New Roman"/>
          <w:b/>
          <w:color w:val="008080"/>
          <w:sz w:val="36"/>
          <w:szCs w:val="38"/>
          <w:lang w:val="en-US"/>
        </w:rPr>
        <w:t xml:space="preserve">eport </w:t>
      </w:r>
      <w:r w:rsidR="000808AF" w:rsidRPr="001B0AF0">
        <w:rPr>
          <w:rFonts w:ascii="Calibri" w:eastAsia="Times New Roman" w:hAnsi="Calibri" w:cs="Times New Roman"/>
          <w:b/>
          <w:i/>
          <w:color w:val="008080"/>
          <w:sz w:val="36"/>
          <w:szCs w:val="38"/>
          <w:lang w:val="en-US"/>
        </w:rPr>
        <w:t>(</w:t>
      </w:r>
      <w:r w:rsidR="00F35FE5">
        <w:rPr>
          <w:rFonts w:ascii="Calibri" w:eastAsia="Times New Roman" w:hAnsi="Calibri" w:cs="Times New Roman"/>
          <w:b/>
          <w:i/>
          <w:color w:val="008080"/>
          <w:sz w:val="36"/>
          <w:szCs w:val="38"/>
          <w:lang w:val="en-US"/>
        </w:rPr>
        <w:t>June 2023</w:t>
      </w:r>
      <w:r w:rsidR="00777968">
        <w:rPr>
          <w:rFonts w:ascii="Calibri" w:eastAsia="Times New Roman" w:hAnsi="Calibri" w:cs="Times New Roman"/>
          <w:b/>
          <w:i/>
          <w:color w:val="008080"/>
          <w:sz w:val="36"/>
          <w:szCs w:val="38"/>
          <w:lang w:val="en-US"/>
        </w:rPr>
        <w:t>)</w:t>
      </w:r>
    </w:p>
    <w:p w14:paraId="27019954" w14:textId="77777777" w:rsidR="006D331D" w:rsidRPr="005D3D0B" w:rsidRDefault="006D331D" w:rsidP="005D3D0B">
      <w:pPr>
        <w:spacing w:after="0"/>
        <w:rPr>
          <w:sz w:val="12"/>
        </w:rPr>
      </w:pPr>
    </w:p>
    <w:tbl>
      <w:tblPr>
        <w:tblStyle w:val="TableGrid"/>
        <w:tblW w:w="14602" w:type="dxa"/>
        <w:tblInd w:w="-318" w:type="dxa"/>
        <w:tblLayout w:type="fixed"/>
        <w:tblLook w:val="04A0" w:firstRow="1" w:lastRow="0" w:firstColumn="1" w:lastColumn="0" w:noHBand="0" w:noVBand="1"/>
      </w:tblPr>
      <w:tblGrid>
        <w:gridCol w:w="1731"/>
        <w:gridCol w:w="1843"/>
        <w:gridCol w:w="1842"/>
        <w:gridCol w:w="9186"/>
      </w:tblGrid>
      <w:tr w:rsidR="00E16278" w:rsidRPr="00894452" w14:paraId="65FA924C" w14:textId="77777777" w:rsidTr="00A84411">
        <w:trPr>
          <w:tblHeader/>
        </w:trPr>
        <w:tc>
          <w:tcPr>
            <w:tcW w:w="1731" w:type="dxa"/>
            <w:shd w:val="clear" w:color="auto" w:fill="244061" w:themeFill="accent1" w:themeFillShade="80"/>
            <w:vAlign w:val="center"/>
          </w:tcPr>
          <w:p w14:paraId="0363E24B" w14:textId="77777777" w:rsidR="00E16278" w:rsidRPr="00B16A2D" w:rsidRDefault="00E16278" w:rsidP="00B16A2D">
            <w:pPr>
              <w:spacing w:before="60" w:after="60" w:line="240" w:lineRule="atLeast"/>
              <w:jc w:val="center"/>
              <w:rPr>
                <w:rFonts w:ascii="Calibri" w:hAnsi="Calibri"/>
                <w:b/>
                <w:color w:val="FFFFFF" w:themeColor="background1"/>
                <w:szCs w:val="24"/>
              </w:rPr>
            </w:pPr>
            <w:r>
              <w:rPr>
                <w:rFonts w:ascii="Calibri" w:hAnsi="Calibri"/>
                <w:b/>
                <w:color w:val="FFFFFF" w:themeColor="background1"/>
                <w:szCs w:val="24"/>
              </w:rPr>
              <w:t>Strategic objective</w:t>
            </w:r>
          </w:p>
        </w:tc>
        <w:tc>
          <w:tcPr>
            <w:tcW w:w="1843" w:type="dxa"/>
            <w:shd w:val="clear" w:color="auto" w:fill="244061" w:themeFill="accent1" w:themeFillShade="80"/>
            <w:vAlign w:val="center"/>
          </w:tcPr>
          <w:p w14:paraId="29ED0242" w14:textId="77777777" w:rsidR="00E16278" w:rsidRPr="00B16A2D" w:rsidRDefault="00E16278" w:rsidP="00B16A2D">
            <w:pPr>
              <w:spacing w:before="60" w:after="60" w:line="240" w:lineRule="atLeast"/>
              <w:jc w:val="center"/>
              <w:rPr>
                <w:rFonts w:ascii="Calibri" w:hAnsi="Calibri"/>
                <w:b/>
                <w:color w:val="FFFFFF" w:themeColor="background1"/>
                <w:szCs w:val="24"/>
              </w:rPr>
            </w:pPr>
            <w:r w:rsidRPr="00513933">
              <w:rPr>
                <w:rFonts w:ascii="Calibri" w:hAnsi="Calibri"/>
                <w:b/>
                <w:color w:val="FFFFFF" w:themeColor="background1"/>
                <w:szCs w:val="24"/>
              </w:rPr>
              <w:t xml:space="preserve">Strategies </w:t>
            </w:r>
            <w:r>
              <w:rPr>
                <w:rFonts w:ascii="Calibri" w:hAnsi="Calibri"/>
                <w:b/>
                <w:color w:val="FFFFFF" w:themeColor="background1"/>
                <w:szCs w:val="24"/>
              </w:rPr>
              <w:t xml:space="preserve">&amp; </w:t>
            </w:r>
            <w:r w:rsidR="00B16A2D">
              <w:rPr>
                <w:rFonts w:ascii="Calibri" w:hAnsi="Calibri"/>
                <w:b/>
                <w:color w:val="FFFFFF" w:themeColor="background1"/>
                <w:szCs w:val="24"/>
              </w:rPr>
              <w:t>initiatives</w:t>
            </w:r>
          </w:p>
        </w:tc>
        <w:tc>
          <w:tcPr>
            <w:tcW w:w="1842" w:type="dxa"/>
            <w:shd w:val="clear" w:color="auto" w:fill="244061" w:themeFill="accent1" w:themeFillShade="80"/>
            <w:vAlign w:val="center"/>
          </w:tcPr>
          <w:p w14:paraId="047C5B7F" w14:textId="77777777" w:rsidR="00E16278" w:rsidRPr="00513933" w:rsidRDefault="00E16278" w:rsidP="00B16A2D">
            <w:pPr>
              <w:spacing w:before="60" w:after="60" w:line="240" w:lineRule="atLeast"/>
              <w:jc w:val="center"/>
              <w:rPr>
                <w:rFonts w:ascii="Calibri" w:hAnsi="Calibri"/>
                <w:b/>
                <w:color w:val="FFFFFF" w:themeColor="background1"/>
                <w:szCs w:val="24"/>
              </w:rPr>
            </w:pPr>
            <w:r>
              <w:rPr>
                <w:rFonts w:ascii="Calibri" w:hAnsi="Calibri"/>
                <w:b/>
                <w:color w:val="FFFFFF" w:themeColor="background1"/>
                <w:szCs w:val="24"/>
              </w:rPr>
              <w:t xml:space="preserve">Performance </w:t>
            </w:r>
            <w:r w:rsidR="00D51A93">
              <w:rPr>
                <w:rFonts w:ascii="Calibri" w:hAnsi="Calibri"/>
                <w:b/>
                <w:color w:val="FFFFFF" w:themeColor="background1"/>
                <w:szCs w:val="24"/>
              </w:rPr>
              <w:t xml:space="preserve">/ progress </w:t>
            </w:r>
            <w:r w:rsidRPr="00513933">
              <w:rPr>
                <w:rFonts w:ascii="Calibri" w:hAnsi="Calibri"/>
                <w:b/>
                <w:color w:val="FFFFFF" w:themeColor="background1"/>
                <w:szCs w:val="24"/>
              </w:rPr>
              <w:t>indicator</w:t>
            </w:r>
          </w:p>
        </w:tc>
        <w:tc>
          <w:tcPr>
            <w:tcW w:w="9186" w:type="dxa"/>
            <w:shd w:val="clear" w:color="auto" w:fill="244061" w:themeFill="accent1" w:themeFillShade="80"/>
            <w:vAlign w:val="center"/>
          </w:tcPr>
          <w:p w14:paraId="31CECF7C" w14:textId="77777777" w:rsidR="00E16278" w:rsidRPr="00513933" w:rsidRDefault="00E67416" w:rsidP="00B16A2D">
            <w:pPr>
              <w:spacing w:before="60" w:after="60" w:line="240" w:lineRule="atLeast"/>
              <w:jc w:val="center"/>
              <w:rPr>
                <w:rFonts w:ascii="Calibri" w:hAnsi="Calibri"/>
                <w:b/>
                <w:color w:val="FFFFFF" w:themeColor="background1"/>
                <w:szCs w:val="24"/>
              </w:rPr>
            </w:pPr>
            <w:r>
              <w:rPr>
                <w:rFonts w:ascii="Calibri" w:hAnsi="Calibri"/>
                <w:b/>
                <w:color w:val="FFFFFF" w:themeColor="background1"/>
                <w:szCs w:val="24"/>
              </w:rPr>
              <w:t>Progress, key a</w:t>
            </w:r>
            <w:r w:rsidR="00E16278" w:rsidRPr="00513933">
              <w:rPr>
                <w:rFonts w:ascii="Calibri" w:hAnsi="Calibri"/>
                <w:b/>
                <w:color w:val="FFFFFF" w:themeColor="background1"/>
                <w:szCs w:val="24"/>
              </w:rPr>
              <w:t>ction items</w:t>
            </w:r>
            <w:r>
              <w:rPr>
                <w:rFonts w:ascii="Calibri" w:hAnsi="Calibri"/>
                <w:b/>
                <w:color w:val="FFFFFF" w:themeColor="background1"/>
                <w:szCs w:val="24"/>
              </w:rPr>
              <w:t>, risks</w:t>
            </w:r>
          </w:p>
        </w:tc>
      </w:tr>
      <w:tr w:rsidR="003841E6" w:rsidRPr="005E098B" w14:paraId="47FD3B9A" w14:textId="77777777" w:rsidTr="003841E6">
        <w:trPr>
          <w:trHeight w:val="1668"/>
        </w:trPr>
        <w:tc>
          <w:tcPr>
            <w:tcW w:w="1731" w:type="dxa"/>
            <w:vAlign w:val="center"/>
          </w:tcPr>
          <w:p w14:paraId="6D6F767C" w14:textId="2BF3FD17" w:rsidR="003841E6" w:rsidRPr="005E098B" w:rsidRDefault="00F539EC" w:rsidP="00C75142">
            <w:pPr>
              <w:spacing w:before="240" w:after="120"/>
              <w:rPr>
                <w:rFonts w:ascii="Calibri" w:eastAsia="Calibri" w:hAnsi="Calibri"/>
                <w:color w:val="404040" w:themeColor="text1" w:themeTint="BF"/>
                <w:spacing w:val="-2"/>
                <w:sz w:val="16"/>
                <w:szCs w:val="16"/>
              </w:rPr>
            </w:pPr>
            <w:r w:rsidRPr="005E098B">
              <w:rPr>
                <w:rFonts w:asciiTheme="minorHAnsi" w:hAnsiTheme="minorHAnsi" w:cstheme="minorHAnsi"/>
                <w:color w:val="222222"/>
                <w:sz w:val="16"/>
                <w:szCs w:val="16"/>
              </w:rPr>
              <w:t>General - refocus of TFIAP strategy post adoption of ISSAI 150 and related guidance</w:t>
            </w:r>
          </w:p>
        </w:tc>
        <w:tc>
          <w:tcPr>
            <w:tcW w:w="1843" w:type="dxa"/>
            <w:vAlign w:val="center"/>
          </w:tcPr>
          <w:p w14:paraId="68216F80" w14:textId="7D87E32F" w:rsidR="003841E6" w:rsidRPr="005E098B" w:rsidRDefault="003855A8" w:rsidP="00C75142">
            <w:pPr>
              <w:spacing w:before="240" w:after="120"/>
              <w:rPr>
                <w:rFonts w:ascii="Calibri" w:eastAsia="Calibri" w:hAnsi="Calibri"/>
                <w:color w:val="404040" w:themeColor="text1" w:themeTint="BF"/>
                <w:spacing w:val="-2"/>
                <w:sz w:val="16"/>
                <w:szCs w:val="16"/>
              </w:rPr>
            </w:pPr>
            <w:r w:rsidRPr="005E098B">
              <w:rPr>
                <w:rFonts w:asciiTheme="minorHAnsi" w:hAnsiTheme="minorHAnsi" w:cstheme="minorHAnsi"/>
                <w:color w:val="222222"/>
                <w:sz w:val="16"/>
                <w:szCs w:val="16"/>
              </w:rPr>
              <w:t>Engage with relevant players in the INTOSAI auditor professionalisation arena to redraft the terms of reference for the TFIAP and formalize a work plan, followed by a process of reconfirming membership of current TFIAP members and opening up nominations for new members.</w:t>
            </w:r>
          </w:p>
        </w:tc>
        <w:tc>
          <w:tcPr>
            <w:tcW w:w="1842" w:type="dxa"/>
            <w:shd w:val="clear" w:color="auto" w:fill="92D050"/>
            <w:vAlign w:val="center"/>
          </w:tcPr>
          <w:p w14:paraId="65BF7676" w14:textId="525C4322" w:rsidR="004130AF" w:rsidRPr="005E098B" w:rsidRDefault="004130AF" w:rsidP="00C75142">
            <w:pPr>
              <w:spacing w:before="240" w:after="120"/>
              <w:rPr>
                <w:rFonts w:ascii="Calibri" w:eastAsia="Calibri" w:hAnsi="Calibri"/>
                <w:color w:val="404040" w:themeColor="text1" w:themeTint="BF"/>
                <w:spacing w:val="-2"/>
                <w:sz w:val="16"/>
                <w:szCs w:val="16"/>
              </w:rPr>
            </w:pPr>
          </w:p>
        </w:tc>
        <w:tc>
          <w:tcPr>
            <w:tcW w:w="9186" w:type="dxa"/>
            <w:vAlign w:val="center"/>
          </w:tcPr>
          <w:p w14:paraId="3888491E" w14:textId="12B1BBEB" w:rsidR="00CC2612" w:rsidRPr="005E098B" w:rsidRDefault="00CC2612" w:rsidP="00CC2612">
            <w:pPr>
              <w:spacing w:before="240" w:after="120"/>
              <w:rPr>
                <w:rFonts w:ascii="Calibri" w:eastAsia="Calibri" w:hAnsi="Calibri"/>
                <w:color w:val="404040" w:themeColor="text1" w:themeTint="BF"/>
                <w:spacing w:val="-2"/>
                <w:sz w:val="16"/>
                <w:szCs w:val="16"/>
              </w:rPr>
            </w:pPr>
            <w:r w:rsidRPr="005E098B">
              <w:rPr>
                <w:rFonts w:ascii="Calibri" w:eastAsia="Calibri" w:hAnsi="Calibri"/>
                <w:color w:val="404040" w:themeColor="text1" w:themeTint="BF"/>
                <w:spacing w:val="-2"/>
                <w:sz w:val="16"/>
                <w:szCs w:val="16"/>
              </w:rPr>
              <w:t xml:space="preserve">Completed redrafting or TFIAP terms of reference and 2023-2025 </w:t>
            </w:r>
            <w:r w:rsidR="008762AA" w:rsidRPr="005E098B">
              <w:rPr>
                <w:rFonts w:ascii="Calibri" w:eastAsia="Calibri" w:hAnsi="Calibri"/>
                <w:color w:val="404040" w:themeColor="text1" w:themeTint="BF"/>
                <w:spacing w:val="-2"/>
                <w:sz w:val="16"/>
                <w:szCs w:val="16"/>
              </w:rPr>
              <w:t>workplan to</w:t>
            </w:r>
            <w:r w:rsidRPr="005E098B">
              <w:rPr>
                <w:rFonts w:ascii="Calibri" w:eastAsia="Calibri" w:hAnsi="Calibri"/>
                <w:color w:val="404040" w:themeColor="text1" w:themeTint="BF"/>
                <w:spacing w:val="-2"/>
                <w:sz w:val="16"/>
                <w:szCs w:val="16"/>
              </w:rPr>
              <w:t xml:space="preserve"> focus on implementation support.</w:t>
            </w:r>
          </w:p>
          <w:p w14:paraId="411772E4" w14:textId="58FAB576" w:rsidR="003841E6" w:rsidRDefault="00CC2612" w:rsidP="00CC2612">
            <w:pPr>
              <w:spacing w:before="240" w:after="120"/>
              <w:rPr>
                <w:rFonts w:ascii="Calibri" w:eastAsia="Calibri" w:hAnsi="Calibri"/>
                <w:color w:val="404040" w:themeColor="text1" w:themeTint="BF"/>
                <w:spacing w:val="-2"/>
                <w:sz w:val="16"/>
                <w:szCs w:val="16"/>
              </w:rPr>
            </w:pPr>
            <w:r w:rsidRPr="005E098B">
              <w:rPr>
                <w:rFonts w:ascii="Calibri" w:eastAsia="Calibri" w:hAnsi="Calibri"/>
                <w:color w:val="404040" w:themeColor="text1" w:themeTint="BF"/>
                <w:spacing w:val="-2"/>
                <w:sz w:val="16"/>
                <w:szCs w:val="16"/>
              </w:rPr>
              <w:t>The process to open up for new membership will commence in June 2023</w:t>
            </w:r>
            <w:r w:rsidRPr="005E098B">
              <w:rPr>
                <w:rFonts w:ascii="Calibri" w:eastAsia="Calibri" w:hAnsi="Calibri"/>
                <w:color w:val="404040" w:themeColor="text1" w:themeTint="BF"/>
                <w:spacing w:val="-2"/>
                <w:sz w:val="16"/>
                <w:szCs w:val="16"/>
              </w:rPr>
              <w:t>.</w:t>
            </w:r>
          </w:p>
          <w:p w14:paraId="0115C652" w14:textId="6466D6C8" w:rsidR="009A189F" w:rsidRPr="005E098B" w:rsidRDefault="009A189F" w:rsidP="00CC2612">
            <w:pPr>
              <w:spacing w:before="240" w:after="120"/>
              <w:rPr>
                <w:rFonts w:ascii="Calibri" w:eastAsia="Calibri" w:hAnsi="Calibri"/>
                <w:color w:val="404040" w:themeColor="text1" w:themeTint="BF"/>
                <w:spacing w:val="-2"/>
                <w:sz w:val="16"/>
                <w:szCs w:val="16"/>
              </w:rPr>
            </w:pPr>
            <w:r>
              <w:rPr>
                <w:rFonts w:ascii="Calibri" w:eastAsia="Calibri" w:hAnsi="Calibri"/>
                <w:color w:val="404040" w:themeColor="text1" w:themeTint="BF"/>
                <w:spacing w:val="-2"/>
                <w:sz w:val="16"/>
                <w:szCs w:val="16"/>
              </w:rPr>
              <w:t>First virtual TFIAP meeting is planned for September 2023.</w:t>
            </w:r>
          </w:p>
          <w:p w14:paraId="1B17F610" w14:textId="11E5AD51" w:rsidR="00157374" w:rsidRPr="005E098B" w:rsidRDefault="00AE17DA" w:rsidP="00CC2612">
            <w:pPr>
              <w:spacing w:before="240" w:after="120"/>
              <w:rPr>
                <w:rFonts w:ascii="Calibri" w:eastAsia="Calibri" w:hAnsi="Calibri"/>
                <w:color w:val="404040" w:themeColor="text1" w:themeTint="BF"/>
                <w:spacing w:val="-2"/>
                <w:sz w:val="16"/>
                <w:szCs w:val="16"/>
              </w:rPr>
            </w:pPr>
            <w:r w:rsidRPr="005E098B">
              <w:rPr>
                <w:rFonts w:ascii="Calibri" w:eastAsia="Calibri" w:hAnsi="Calibri"/>
                <w:color w:val="404040" w:themeColor="text1" w:themeTint="BF"/>
                <w:spacing w:val="-2"/>
                <w:sz w:val="16"/>
                <w:szCs w:val="16"/>
              </w:rPr>
              <w:t>A k</w:t>
            </w:r>
            <w:r w:rsidR="00157374" w:rsidRPr="005E098B">
              <w:rPr>
                <w:rFonts w:ascii="Calibri" w:eastAsia="Calibri" w:hAnsi="Calibri"/>
                <w:color w:val="404040" w:themeColor="text1" w:themeTint="BF"/>
                <w:spacing w:val="-2"/>
                <w:sz w:val="16"/>
                <w:szCs w:val="16"/>
              </w:rPr>
              <w:t>ey risk</w:t>
            </w:r>
            <w:r w:rsidRPr="005E098B">
              <w:rPr>
                <w:rFonts w:ascii="Calibri" w:eastAsia="Calibri" w:hAnsi="Calibri"/>
                <w:color w:val="404040" w:themeColor="text1" w:themeTint="BF"/>
                <w:spacing w:val="-2"/>
                <w:sz w:val="16"/>
                <w:szCs w:val="16"/>
              </w:rPr>
              <w:t xml:space="preserve"> that face</w:t>
            </w:r>
            <w:r w:rsidR="001E767F">
              <w:rPr>
                <w:rFonts w:ascii="Calibri" w:eastAsia="Calibri" w:hAnsi="Calibri"/>
                <w:color w:val="404040" w:themeColor="text1" w:themeTint="BF"/>
                <w:spacing w:val="-2"/>
                <w:sz w:val="16"/>
                <w:szCs w:val="16"/>
              </w:rPr>
              <w:t>s</w:t>
            </w:r>
            <w:r w:rsidRPr="005E098B">
              <w:rPr>
                <w:rFonts w:ascii="Calibri" w:eastAsia="Calibri" w:hAnsi="Calibri"/>
                <w:color w:val="404040" w:themeColor="text1" w:themeTint="BF"/>
                <w:spacing w:val="-2"/>
                <w:sz w:val="16"/>
                <w:szCs w:val="16"/>
              </w:rPr>
              <w:t xml:space="preserve"> the TFIAP relates to </w:t>
            </w:r>
            <w:r w:rsidR="00157374" w:rsidRPr="005E098B">
              <w:rPr>
                <w:rFonts w:ascii="Calibri" w:eastAsia="Calibri" w:hAnsi="Calibri"/>
                <w:color w:val="404040" w:themeColor="text1" w:themeTint="BF"/>
                <w:spacing w:val="-2"/>
                <w:sz w:val="16"/>
                <w:szCs w:val="16"/>
              </w:rPr>
              <w:t xml:space="preserve">ensuring that </w:t>
            </w:r>
            <w:r w:rsidR="005D2BD6" w:rsidRPr="005E098B">
              <w:rPr>
                <w:rFonts w:ascii="Calibri" w:eastAsia="Calibri" w:hAnsi="Calibri"/>
                <w:color w:val="404040" w:themeColor="text1" w:themeTint="BF"/>
                <w:spacing w:val="-2"/>
                <w:sz w:val="16"/>
                <w:szCs w:val="16"/>
              </w:rPr>
              <w:t>the</w:t>
            </w:r>
            <w:r w:rsidR="00157374" w:rsidRPr="005E098B">
              <w:rPr>
                <w:rFonts w:ascii="Calibri" w:eastAsia="Calibri" w:hAnsi="Calibri"/>
                <w:color w:val="404040" w:themeColor="text1" w:themeTint="BF"/>
                <w:spacing w:val="-2"/>
                <w:sz w:val="16"/>
                <w:szCs w:val="16"/>
              </w:rPr>
              <w:t xml:space="preserve"> membership of the TFIAP is appropriate for the task at hand. </w:t>
            </w:r>
            <w:r w:rsidR="005D2BD6" w:rsidRPr="005E098B">
              <w:rPr>
                <w:rFonts w:ascii="Calibri" w:eastAsia="Calibri" w:hAnsi="Calibri"/>
                <w:color w:val="404040" w:themeColor="text1" w:themeTint="BF"/>
                <w:spacing w:val="-2"/>
                <w:sz w:val="16"/>
                <w:szCs w:val="16"/>
              </w:rPr>
              <w:t xml:space="preserve">The ideal membership requirements </w:t>
            </w:r>
            <w:r w:rsidR="001E767F">
              <w:rPr>
                <w:rFonts w:ascii="Calibri" w:eastAsia="Calibri" w:hAnsi="Calibri"/>
                <w:color w:val="404040" w:themeColor="text1" w:themeTint="BF"/>
                <w:spacing w:val="-2"/>
                <w:sz w:val="16"/>
                <w:szCs w:val="16"/>
              </w:rPr>
              <w:t>are</w:t>
            </w:r>
            <w:r w:rsidR="005D2BD6" w:rsidRPr="005E098B">
              <w:rPr>
                <w:rFonts w:ascii="Calibri" w:eastAsia="Calibri" w:hAnsi="Calibri"/>
                <w:color w:val="404040" w:themeColor="text1" w:themeTint="BF"/>
                <w:spacing w:val="-2"/>
                <w:sz w:val="16"/>
                <w:szCs w:val="16"/>
              </w:rPr>
              <w:t xml:space="preserve"> spelt out in the new terms of reference and cover a) all role-players in the 2023-2025 INTOSAI goal 2 operational plan and b) a broad range of external players in professionalisation (global and local PAOs academia</w:t>
            </w:r>
            <w:r w:rsidR="00D10E39" w:rsidRPr="005E098B">
              <w:rPr>
                <w:rFonts w:ascii="Calibri" w:eastAsia="Calibri" w:hAnsi="Calibri"/>
                <w:color w:val="404040" w:themeColor="text1" w:themeTint="BF"/>
                <w:spacing w:val="-2"/>
                <w:sz w:val="16"/>
                <w:szCs w:val="16"/>
              </w:rPr>
              <w:t>, etc</w:t>
            </w:r>
            <w:r w:rsidR="001E767F">
              <w:rPr>
                <w:rFonts w:ascii="Calibri" w:eastAsia="Calibri" w:hAnsi="Calibri"/>
                <w:color w:val="404040" w:themeColor="text1" w:themeTint="BF"/>
                <w:spacing w:val="-2"/>
                <w:sz w:val="16"/>
                <w:szCs w:val="16"/>
              </w:rPr>
              <w:t>.</w:t>
            </w:r>
            <w:r w:rsidR="00D10E39" w:rsidRPr="005E098B">
              <w:rPr>
                <w:rFonts w:ascii="Calibri" w:eastAsia="Calibri" w:hAnsi="Calibri"/>
                <w:color w:val="404040" w:themeColor="text1" w:themeTint="BF"/>
                <w:spacing w:val="-2"/>
                <w:sz w:val="16"/>
                <w:szCs w:val="16"/>
              </w:rPr>
              <w:t>).</w:t>
            </w:r>
          </w:p>
          <w:p w14:paraId="7D307B75" w14:textId="3960AAF6" w:rsidR="00157374" w:rsidRPr="005E098B" w:rsidRDefault="00157374" w:rsidP="00CC2612">
            <w:pPr>
              <w:spacing w:before="240" w:after="120"/>
              <w:rPr>
                <w:rFonts w:ascii="Calibri" w:eastAsia="Calibri" w:hAnsi="Calibri"/>
                <w:b/>
                <w:color w:val="404040" w:themeColor="text1" w:themeTint="BF"/>
                <w:spacing w:val="-2"/>
                <w:sz w:val="16"/>
                <w:szCs w:val="16"/>
              </w:rPr>
            </w:pPr>
          </w:p>
        </w:tc>
      </w:tr>
      <w:tr w:rsidR="008829AA" w:rsidRPr="001E767F" w14:paraId="476FD30A" w14:textId="77777777" w:rsidTr="008829AA">
        <w:trPr>
          <w:trHeight w:val="3203"/>
        </w:trPr>
        <w:tc>
          <w:tcPr>
            <w:tcW w:w="1731" w:type="dxa"/>
            <w:vMerge w:val="restart"/>
            <w:vAlign w:val="center"/>
          </w:tcPr>
          <w:p w14:paraId="758E481B" w14:textId="7F9C447A" w:rsidR="008829AA" w:rsidRPr="001E767F" w:rsidRDefault="008829AA" w:rsidP="008829AA">
            <w:pPr>
              <w:spacing w:before="480" w:after="360"/>
              <w:rPr>
                <w:rFonts w:asciiTheme="minorHAnsi" w:hAnsiTheme="minorHAnsi" w:cstheme="minorHAnsi"/>
                <w:b/>
                <w:color w:val="222222"/>
                <w:sz w:val="16"/>
                <w:szCs w:val="16"/>
              </w:rPr>
            </w:pPr>
            <w:r w:rsidRPr="001E767F">
              <w:rPr>
                <w:rFonts w:asciiTheme="minorHAnsi" w:hAnsiTheme="minorHAnsi" w:cstheme="minorHAnsi"/>
                <w:color w:val="222222"/>
                <w:sz w:val="16"/>
                <w:szCs w:val="16"/>
              </w:rPr>
              <w:lastRenderedPageBreak/>
              <w:t xml:space="preserve">Promote, facilitate and implement INTOSAI-wide initiatives in support of SAI capacity development     </w:t>
            </w:r>
            <w:r w:rsidR="00FA0B40" w:rsidRPr="001E767F">
              <w:rPr>
                <w:rFonts w:asciiTheme="minorHAnsi" w:hAnsiTheme="minorHAnsi" w:cstheme="minorHAnsi"/>
                <w:color w:val="222222"/>
                <w:sz w:val="16"/>
                <w:szCs w:val="16"/>
              </w:rPr>
              <w:t xml:space="preserve"> </w:t>
            </w:r>
            <w:r w:rsidR="00FA0B40" w:rsidRPr="001E767F">
              <w:rPr>
                <w:rFonts w:cstheme="minorHAnsi"/>
                <w:color w:val="222222"/>
                <w:sz w:val="16"/>
                <w:szCs w:val="16"/>
              </w:rPr>
              <w:t xml:space="preserve"> [</w:t>
            </w:r>
            <w:r w:rsidRPr="001E767F">
              <w:rPr>
                <w:rFonts w:asciiTheme="minorHAnsi" w:hAnsiTheme="minorHAnsi" w:cstheme="minorHAnsi"/>
                <w:b/>
                <w:color w:val="222222"/>
                <w:sz w:val="16"/>
                <w:szCs w:val="16"/>
              </w:rPr>
              <w:t>INTOSAI Strategic Objective 2.1]</w:t>
            </w:r>
          </w:p>
          <w:p w14:paraId="51233D83" w14:textId="77777777" w:rsidR="008829AA" w:rsidRPr="001E767F" w:rsidRDefault="008829AA" w:rsidP="008829AA">
            <w:pPr>
              <w:spacing w:before="480" w:after="360"/>
              <w:rPr>
                <w:rFonts w:asciiTheme="minorHAnsi" w:hAnsiTheme="minorHAnsi" w:cstheme="minorHAnsi"/>
                <w:b/>
                <w:color w:val="222222"/>
                <w:sz w:val="16"/>
                <w:szCs w:val="16"/>
              </w:rPr>
            </w:pPr>
            <w:r w:rsidRPr="001E767F">
              <w:rPr>
                <w:rFonts w:asciiTheme="minorHAnsi" w:hAnsiTheme="minorHAnsi" w:cstheme="minorHAnsi"/>
                <w:sz w:val="16"/>
                <w:szCs w:val="16"/>
              </w:rPr>
              <w:t xml:space="preserve">Strategically partner, inside and outside INTOSAI in support of SAI professionalism, auditor professionalization and SAI’s ability to meet future challenges </w:t>
            </w:r>
            <w:r w:rsidRPr="001E767F">
              <w:rPr>
                <w:rFonts w:asciiTheme="minorHAnsi" w:hAnsiTheme="minorHAnsi" w:cstheme="minorHAnsi"/>
                <w:b/>
                <w:color w:val="222222"/>
                <w:sz w:val="16"/>
                <w:szCs w:val="16"/>
              </w:rPr>
              <w:t>[INTOSAI Strategic Objective 2.2]</w:t>
            </w:r>
          </w:p>
          <w:p w14:paraId="58CB6E09" w14:textId="2D9E6449" w:rsidR="008829AA" w:rsidRPr="001E767F" w:rsidRDefault="008829AA" w:rsidP="008829AA">
            <w:pPr>
              <w:spacing w:before="480" w:after="360"/>
              <w:rPr>
                <w:rFonts w:ascii="Calibri" w:eastAsia="Calibri" w:hAnsi="Calibri"/>
                <w:b/>
                <w:spacing w:val="-2"/>
                <w:sz w:val="16"/>
                <w:szCs w:val="16"/>
                <w:lang w:val="en-ZA"/>
              </w:rPr>
            </w:pPr>
            <w:r w:rsidRPr="001E767F">
              <w:rPr>
                <w:rFonts w:asciiTheme="minorHAnsi" w:hAnsiTheme="minorHAnsi" w:cstheme="minorHAnsi"/>
                <w:color w:val="222222"/>
                <w:sz w:val="16"/>
                <w:szCs w:val="16"/>
              </w:rPr>
              <w:t>Share capacity development insights and practices, and facilitate dialogue on capacity development challenges and opportunities</w:t>
            </w:r>
            <w:r w:rsidR="00FA0B40" w:rsidRPr="001E767F">
              <w:rPr>
                <w:rFonts w:asciiTheme="minorHAnsi" w:hAnsiTheme="minorHAnsi" w:cstheme="minorHAnsi"/>
                <w:color w:val="222222"/>
                <w:sz w:val="16"/>
                <w:szCs w:val="16"/>
              </w:rPr>
              <w:t xml:space="preserve"> </w:t>
            </w:r>
            <w:r w:rsidR="00FA0B40" w:rsidRPr="001E767F">
              <w:rPr>
                <w:rFonts w:cstheme="minorHAnsi"/>
                <w:color w:val="222222"/>
                <w:sz w:val="16"/>
                <w:szCs w:val="16"/>
              </w:rPr>
              <w:t xml:space="preserve"> </w:t>
            </w:r>
            <w:r w:rsidR="00FA0B40" w:rsidRPr="001E767F">
              <w:rPr>
                <w:rFonts w:cstheme="minorHAnsi"/>
                <w:color w:val="222222"/>
                <w:sz w:val="16"/>
                <w:szCs w:val="16"/>
              </w:rPr>
              <w:lastRenderedPageBreak/>
              <w:t>[</w:t>
            </w:r>
            <w:r w:rsidRPr="001E767F">
              <w:rPr>
                <w:rFonts w:asciiTheme="minorHAnsi" w:hAnsiTheme="minorHAnsi" w:cstheme="minorHAnsi"/>
                <w:b/>
                <w:color w:val="222222"/>
                <w:sz w:val="16"/>
                <w:szCs w:val="16"/>
              </w:rPr>
              <w:t>INTOSAI Strategic Objective 2.3]</w:t>
            </w:r>
          </w:p>
        </w:tc>
        <w:tc>
          <w:tcPr>
            <w:tcW w:w="1843" w:type="dxa"/>
            <w:vAlign w:val="center"/>
          </w:tcPr>
          <w:p w14:paraId="0F4935DA" w14:textId="0F9A1B9B" w:rsidR="008829AA" w:rsidRPr="001E767F" w:rsidRDefault="008829AA" w:rsidP="008829AA">
            <w:pPr>
              <w:spacing w:before="240" w:after="120"/>
              <w:rPr>
                <w:rFonts w:ascii="Calibri" w:eastAsia="Calibri" w:hAnsi="Calibri"/>
                <w:spacing w:val="-1"/>
                <w:sz w:val="16"/>
                <w:szCs w:val="16"/>
                <w:lang w:val="en-ZA"/>
              </w:rPr>
            </w:pPr>
            <w:r w:rsidRPr="00913813">
              <w:rPr>
                <w:rFonts w:asciiTheme="minorHAnsi" w:hAnsiTheme="minorHAnsi" w:cstheme="minorHAnsi"/>
                <w:iCs/>
                <w:sz w:val="16"/>
                <w:szCs w:val="16"/>
                <w:lang w:val="en-ZA"/>
              </w:rPr>
              <w:lastRenderedPageBreak/>
              <w:t>Participate in global stock-taking activities relating to auditor professionalisation (especially in the context of ISSAI 150 and its related guidance) to continuously inform the work-plans of the TFIAP and the INTOSAI CBC.</w:t>
            </w:r>
          </w:p>
        </w:tc>
        <w:tc>
          <w:tcPr>
            <w:tcW w:w="1842" w:type="dxa"/>
            <w:shd w:val="clear" w:color="auto" w:fill="92D050"/>
            <w:vAlign w:val="center"/>
          </w:tcPr>
          <w:p w14:paraId="4C45D145" w14:textId="1B3A7116" w:rsidR="008829AA" w:rsidRPr="001E767F" w:rsidRDefault="008829AA" w:rsidP="008829AA">
            <w:pPr>
              <w:spacing w:before="240" w:after="120"/>
              <w:rPr>
                <w:rFonts w:ascii="Calibri" w:eastAsia="Calibri" w:hAnsi="Calibri"/>
                <w:color w:val="404040" w:themeColor="text1" w:themeTint="BF"/>
                <w:spacing w:val="-2"/>
                <w:sz w:val="16"/>
                <w:szCs w:val="16"/>
              </w:rPr>
            </w:pPr>
          </w:p>
        </w:tc>
        <w:tc>
          <w:tcPr>
            <w:tcW w:w="9186" w:type="dxa"/>
            <w:vAlign w:val="center"/>
          </w:tcPr>
          <w:p w14:paraId="4ABAE273" w14:textId="77777777" w:rsidR="000627A8" w:rsidRDefault="009C0BC2" w:rsidP="00562D74">
            <w:pPr>
              <w:spacing w:before="240" w:after="120"/>
              <w:rPr>
                <w:rFonts w:asciiTheme="minorHAnsi" w:hAnsiTheme="minorHAnsi" w:cstheme="minorHAnsi"/>
                <w:color w:val="222222"/>
                <w:sz w:val="16"/>
                <w:szCs w:val="16"/>
              </w:rPr>
            </w:pPr>
            <w:r w:rsidRPr="00913813">
              <w:rPr>
                <w:rFonts w:asciiTheme="minorHAnsi" w:hAnsiTheme="minorHAnsi" w:cstheme="minorHAnsi"/>
                <w:color w:val="222222"/>
                <w:sz w:val="16"/>
                <w:szCs w:val="16"/>
              </w:rPr>
              <w:t xml:space="preserve">Inputs to IDI </w:t>
            </w:r>
            <w:r>
              <w:rPr>
                <w:rFonts w:asciiTheme="minorHAnsi" w:hAnsiTheme="minorHAnsi" w:cstheme="minorHAnsi"/>
                <w:color w:val="222222"/>
                <w:sz w:val="16"/>
                <w:szCs w:val="16"/>
              </w:rPr>
              <w:t xml:space="preserve">have been provided </w:t>
            </w:r>
            <w:r w:rsidRPr="00913813">
              <w:rPr>
                <w:rFonts w:asciiTheme="minorHAnsi" w:hAnsiTheme="minorHAnsi" w:cstheme="minorHAnsi"/>
                <w:color w:val="222222"/>
                <w:sz w:val="16"/>
                <w:szCs w:val="16"/>
              </w:rPr>
              <w:t>to inform survey questions regarding auditor professionalisation, competence development and human resource practices have been provided in April / May 2023.</w:t>
            </w:r>
            <w:r w:rsidR="00A64497">
              <w:rPr>
                <w:rFonts w:asciiTheme="minorHAnsi" w:hAnsiTheme="minorHAnsi" w:cstheme="minorHAnsi"/>
                <w:color w:val="222222"/>
                <w:sz w:val="16"/>
                <w:szCs w:val="16"/>
              </w:rPr>
              <w:t xml:space="preserve"> </w:t>
            </w:r>
          </w:p>
          <w:p w14:paraId="30726E1E" w14:textId="77777777" w:rsidR="00A64497" w:rsidRDefault="00A64497" w:rsidP="00562D74">
            <w:pPr>
              <w:spacing w:before="240" w:after="120"/>
              <w:rPr>
                <w:rFonts w:asciiTheme="minorHAnsi" w:hAnsiTheme="minorHAnsi" w:cstheme="minorHAnsi"/>
                <w:color w:val="222222"/>
                <w:sz w:val="16"/>
                <w:szCs w:val="16"/>
              </w:rPr>
            </w:pPr>
            <w:r>
              <w:rPr>
                <w:rFonts w:asciiTheme="minorHAnsi" w:hAnsiTheme="minorHAnsi" w:cstheme="minorHAnsi"/>
                <w:color w:val="222222"/>
                <w:sz w:val="16"/>
                <w:szCs w:val="16"/>
              </w:rPr>
              <w:t>Results from this survey should be available towards the end of 2023</w:t>
            </w:r>
            <w:r w:rsidR="00562D74">
              <w:rPr>
                <w:rFonts w:asciiTheme="minorHAnsi" w:hAnsiTheme="minorHAnsi" w:cstheme="minorHAnsi"/>
                <w:color w:val="222222"/>
                <w:sz w:val="16"/>
                <w:szCs w:val="16"/>
              </w:rPr>
              <w:t>, where-after a detailed analysis (dealing with auditor competence and HRM) will be done.</w:t>
            </w:r>
            <w:r w:rsidR="00437129">
              <w:rPr>
                <w:rFonts w:asciiTheme="minorHAnsi" w:hAnsiTheme="minorHAnsi" w:cstheme="minorHAnsi"/>
                <w:color w:val="222222"/>
                <w:sz w:val="16"/>
                <w:szCs w:val="16"/>
              </w:rPr>
              <w:t xml:space="preserve"> This will be followed by a v</w:t>
            </w:r>
            <w:r w:rsidR="00562D74" w:rsidRPr="00913813">
              <w:rPr>
                <w:rFonts w:asciiTheme="minorHAnsi" w:hAnsiTheme="minorHAnsi" w:cstheme="minorHAnsi"/>
                <w:color w:val="222222"/>
                <w:sz w:val="16"/>
                <w:szCs w:val="16"/>
              </w:rPr>
              <w:t xml:space="preserve">irtual TFIAP event to share insights from </w:t>
            </w:r>
            <w:r w:rsidR="00437129">
              <w:rPr>
                <w:rFonts w:asciiTheme="minorHAnsi" w:hAnsiTheme="minorHAnsi" w:cstheme="minorHAnsi"/>
                <w:color w:val="222222"/>
                <w:sz w:val="16"/>
                <w:szCs w:val="16"/>
              </w:rPr>
              <w:t>this survey</w:t>
            </w:r>
            <w:r w:rsidR="003E1760">
              <w:rPr>
                <w:rFonts w:asciiTheme="minorHAnsi" w:hAnsiTheme="minorHAnsi" w:cstheme="minorHAnsi"/>
                <w:color w:val="222222"/>
                <w:sz w:val="16"/>
                <w:szCs w:val="16"/>
              </w:rPr>
              <w:t xml:space="preserve"> </w:t>
            </w:r>
            <w:r w:rsidR="00562D74" w:rsidRPr="00913813">
              <w:rPr>
                <w:rFonts w:asciiTheme="minorHAnsi" w:hAnsiTheme="minorHAnsi" w:cstheme="minorHAnsi"/>
                <w:color w:val="222222"/>
                <w:sz w:val="16"/>
                <w:szCs w:val="16"/>
              </w:rPr>
              <w:t>and discuss implications for INTOSAI and PAOs.</w:t>
            </w:r>
            <w:r w:rsidR="003E1760">
              <w:rPr>
                <w:rFonts w:asciiTheme="minorHAnsi" w:hAnsiTheme="minorHAnsi" w:cstheme="minorHAnsi"/>
                <w:color w:val="222222"/>
                <w:sz w:val="16"/>
                <w:szCs w:val="16"/>
              </w:rPr>
              <w:t xml:space="preserve"> If necessary, the workplan will be updated </w:t>
            </w:r>
            <w:r w:rsidR="000627A8">
              <w:rPr>
                <w:rFonts w:asciiTheme="minorHAnsi" w:hAnsiTheme="minorHAnsi" w:cstheme="minorHAnsi"/>
                <w:color w:val="222222"/>
                <w:sz w:val="16"/>
                <w:szCs w:val="16"/>
              </w:rPr>
              <w:t>to reflect these outcomes.</w:t>
            </w:r>
          </w:p>
          <w:p w14:paraId="58978255" w14:textId="079247EE" w:rsidR="009F3BE5" w:rsidRPr="001E767F" w:rsidRDefault="008C4CCA" w:rsidP="00562D74">
            <w:pPr>
              <w:spacing w:before="240" w:after="120"/>
              <w:rPr>
                <w:rFonts w:ascii="Calibri" w:eastAsia="Calibri" w:hAnsi="Calibri"/>
                <w:color w:val="404040" w:themeColor="text1" w:themeTint="BF"/>
                <w:spacing w:val="-2"/>
                <w:sz w:val="16"/>
                <w:szCs w:val="16"/>
              </w:rPr>
            </w:pPr>
            <w:r>
              <w:rPr>
                <w:rFonts w:ascii="Calibri" w:eastAsia="Calibri" w:hAnsi="Calibri"/>
                <w:color w:val="404040" w:themeColor="text1" w:themeTint="BF"/>
                <w:spacing w:val="-2"/>
                <w:sz w:val="16"/>
                <w:szCs w:val="16"/>
              </w:rPr>
              <w:t xml:space="preserve">Two risks have been identified in this area – reaction to the global survey and inclusivity of the </w:t>
            </w:r>
            <w:r w:rsidR="006A58CD">
              <w:rPr>
                <w:rFonts w:ascii="Calibri" w:eastAsia="Calibri" w:hAnsi="Calibri"/>
                <w:color w:val="404040" w:themeColor="text1" w:themeTint="BF"/>
                <w:spacing w:val="-2"/>
                <w:sz w:val="16"/>
                <w:szCs w:val="16"/>
              </w:rPr>
              <w:t>sharing of insights and related commitments. The first risk is largely under the control of the IDI</w:t>
            </w:r>
            <w:r w:rsidR="00890D3B">
              <w:rPr>
                <w:rFonts w:ascii="Calibri" w:eastAsia="Calibri" w:hAnsi="Calibri"/>
                <w:color w:val="404040" w:themeColor="text1" w:themeTint="BF"/>
                <w:spacing w:val="-2"/>
                <w:sz w:val="16"/>
                <w:szCs w:val="16"/>
              </w:rPr>
              <w:t xml:space="preserve">, </w:t>
            </w:r>
            <w:r w:rsidR="006A58CD">
              <w:rPr>
                <w:rFonts w:ascii="Calibri" w:eastAsia="Calibri" w:hAnsi="Calibri"/>
                <w:color w:val="404040" w:themeColor="text1" w:themeTint="BF"/>
                <w:spacing w:val="-2"/>
                <w:sz w:val="16"/>
                <w:szCs w:val="16"/>
              </w:rPr>
              <w:t>although</w:t>
            </w:r>
            <w:r w:rsidR="00890D3B">
              <w:rPr>
                <w:rFonts w:ascii="Calibri" w:eastAsia="Calibri" w:hAnsi="Calibri"/>
                <w:color w:val="404040" w:themeColor="text1" w:themeTint="BF"/>
                <w:spacing w:val="-2"/>
                <w:sz w:val="16"/>
                <w:szCs w:val="16"/>
              </w:rPr>
              <w:t xml:space="preserve"> - </w:t>
            </w:r>
            <w:r w:rsidR="006A58CD">
              <w:rPr>
                <w:rFonts w:ascii="Calibri" w:eastAsia="Calibri" w:hAnsi="Calibri"/>
                <w:color w:val="404040" w:themeColor="text1" w:themeTint="BF"/>
                <w:spacing w:val="-2"/>
                <w:sz w:val="16"/>
                <w:szCs w:val="16"/>
              </w:rPr>
              <w:t>given previous experience</w:t>
            </w:r>
            <w:r w:rsidR="00890D3B">
              <w:rPr>
                <w:rFonts w:ascii="Calibri" w:eastAsia="Calibri" w:hAnsi="Calibri"/>
                <w:color w:val="404040" w:themeColor="text1" w:themeTint="BF"/>
                <w:spacing w:val="-2"/>
                <w:sz w:val="16"/>
                <w:szCs w:val="16"/>
              </w:rPr>
              <w:t xml:space="preserve"> - </w:t>
            </w:r>
            <w:r w:rsidR="006A58CD">
              <w:rPr>
                <w:rFonts w:ascii="Calibri" w:eastAsia="Calibri" w:hAnsi="Calibri"/>
                <w:color w:val="404040" w:themeColor="text1" w:themeTint="BF"/>
                <w:spacing w:val="-2"/>
                <w:sz w:val="16"/>
                <w:szCs w:val="16"/>
              </w:rPr>
              <w:t>indicate that this is probably a low risk</w:t>
            </w:r>
            <w:r w:rsidR="00890D3B">
              <w:rPr>
                <w:rFonts w:ascii="Calibri" w:eastAsia="Calibri" w:hAnsi="Calibri"/>
                <w:color w:val="404040" w:themeColor="text1" w:themeTint="BF"/>
                <w:spacing w:val="-2"/>
                <w:sz w:val="16"/>
                <w:szCs w:val="16"/>
              </w:rPr>
              <w:t>. Regarding inclusivity of</w:t>
            </w:r>
            <w:r w:rsidR="00907E77">
              <w:rPr>
                <w:rFonts w:ascii="Calibri" w:eastAsia="Calibri" w:hAnsi="Calibri"/>
                <w:color w:val="404040" w:themeColor="text1" w:themeTint="BF"/>
                <w:spacing w:val="-2"/>
                <w:sz w:val="16"/>
                <w:szCs w:val="16"/>
              </w:rPr>
              <w:t xml:space="preserve"> follow-up actions, this will be structures to include the key players identified in the 2023 – 2025 INTOSAI goal 2 operational plan and external stakeholders as per the new terms of reference of the TFIAP.</w:t>
            </w:r>
          </w:p>
        </w:tc>
      </w:tr>
      <w:tr w:rsidR="00A31C3A" w:rsidRPr="001E767F" w14:paraId="76996972" w14:textId="77777777" w:rsidTr="006B394D">
        <w:trPr>
          <w:trHeight w:val="2494"/>
        </w:trPr>
        <w:tc>
          <w:tcPr>
            <w:tcW w:w="1731" w:type="dxa"/>
            <w:vMerge/>
            <w:vAlign w:val="center"/>
          </w:tcPr>
          <w:p w14:paraId="28001082" w14:textId="747C07BC" w:rsidR="00A31C3A" w:rsidRPr="001E767F" w:rsidRDefault="00A31C3A" w:rsidP="00A31C3A">
            <w:pPr>
              <w:spacing w:before="240" w:after="120"/>
              <w:rPr>
                <w:rFonts w:ascii="Calibri" w:eastAsia="Calibri" w:hAnsi="Calibri"/>
                <w:b/>
                <w:spacing w:val="-2"/>
                <w:sz w:val="16"/>
                <w:szCs w:val="16"/>
                <w:lang w:val="en-ZA"/>
              </w:rPr>
            </w:pPr>
          </w:p>
        </w:tc>
        <w:tc>
          <w:tcPr>
            <w:tcW w:w="1843" w:type="dxa"/>
            <w:vAlign w:val="center"/>
          </w:tcPr>
          <w:p w14:paraId="258617F4" w14:textId="1F577B75" w:rsidR="00A31C3A" w:rsidRPr="001E767F" w:rsidRDefault="00A31C3A" w:rsidP="00A31C3A">
            <w:pPr>
              <w:spacing w:before="240" w:after="120"/>
              <w:rPr>
                <w:rFonts w:ascii="Calibri" w:eastAsia="Calibri" w:hAnsi="Calibri"/>
                <w:color w:val="404040" w:themeColor="text1" w:themeTint="BF"/>
                <w:spacing w:val="-2"/>
                <w:sz w:val="16"/>
                <w:szCs w:val="16"/>
              </w:rPr>
            </w:pPr>
            <w:r w:rsidRPr="00913813">
              <w:rPr>
                <w:rFonts w:asciiTheme="minorHAnsi" w:hAnsiTheme="minorHAnsi" w:cstheme="minorHAnsi"/>
                <w:iCs/>
                <w:sz w:val="16"/>
                <w:szCs w:val="16"/>
                <w:lang w:val="en-ZA"/>
              </w:rPr>
              <w:t>Continuing to research enabling mechanisms required to facilitate and structure professional development in INTOSAI, in cooperation with relevant INTOSAI organs, INTOSAI related entities, the International Federation of Accountants (IFAC), the Institute of Internal Auditors (IIA) and other professional accounting organisations (PAOs) on work relating to auditor education, training and capacity development.</w:t>
            </w:r>
          </w:p>
        </w:tc>
        <w:tc>
          <w:tcPr>
            <w:tcW w:w="1842" w:type="dxa"/>
            <w:shd w:val="clear" w:color="auto" w:fill="00B0F0"/>
            <w:vAlign w:val="center"/>
          </w:tcPr>
          <w:p w14:paraId="2451C57B" w14:textId="77777777" w:rsidR="00A31C3A" w:rsidRPr="001E767F" w:rsidRDefault="00A31C3A" w:rsidP="00A31C3A">
            <w:pPr>
              <w:spacing w:before="240" w:after="120"/>
              <w:rPr>
                <w:rFonts w:ascii="Calibri" w:hAnsi="Calibri"/>
                <w:sz w:val="16"/>
                <w:szCs w:val="16"/>
              </w:rPr>
            </w:pPr>
          </w:p>
        </w:tc>
        <w:tc>
          <w:tcPr>
            <w:tcW w:w="9186" w:type="dxa"/>
            <w:vAlign w:val="center"/>
          </w:tcPr>
          <w:p w14:paraId="452615F5" w14:textId="59504A8F" w:rsidR="00DD62A6" w:rsidRPr="00913813" w:rsidRDefault="00B40D3C" w:rsidP="00DD62A6">
            <w:pPr>
              <w:spacing w:line="276" w:lineRule="auto"/>
              <w:rPr>
                <w:rFonts w:asciiTheme="minorHAnsi" w:hAnsiTheme="minorHAnsi" w:cstheme="minorHAnsi"/>
                <w:color w:val="222222"/>
                <w:sz w:val="16"/>
                <w:szCs w:val="16"/>
              </w:rPr>
            </w:pPr>
            <w:r>
              <w:rPr>
                <w:rFonts w:asciiTheme="minorHAnsi" w:hAnsiTheme="minorHAnsi" w:cstheme="minorHAnsi"/>
                <w:color w:val="222222"/>
                <w:sz w:val="16"/>
                <w:szCs w:val="16"/>
              </w:rPr>
              <w:t>This area of focus will kick off post the availability of the 2023 Global Survey results.</w:t>
            </w:r>
            <w:r w:rsidR="000F3A02">
              <w:rPr>
                <w:rFonts w:asciiTheme="minorHAnsi" w:hAnsiTheme="minorHAnsi" w:cstheme="minorHAnsi"/>
                <w:color w:val="222222"/>
                <w:sz w:val="16"/>
                <w:szCs w:val="16"/>
              </w:rPr>
              <w:t xml:space="preserve"> Once unpacked (as envisaged above) a t</w:t>
            </w:r>
            <w:r w:rsidR="00DD62A6" w:rsidRPr="00913813">
              <w:rPr>
                <w:rFonts w:asciiTheme="minorHAnsi" w:hAnsiTheme="minorHAnsi" w:cstheme="minorHAnsi"/>
                <w:color w:val="222222"/>
                <w:sz w:val="16"/>
                <w:szCs w:val="16"/>
              </w:rPr>
              <w:t xml:space="preserve">erms of reference for </w:t>
            </w:r>
            <w:r w:rsidR="00413B6C">
              <w:rPr>
                <w:rFonts w:asciiTheme="minorHAnsi" w:hAnsiTheme="minorHAnsi" w:cstheme="minorHAnsi"/>
                <w:color w:val="222222"/>
                <w:sz w:val="16"/>
                <w:szCs w:val="16"/>
              </w:rPr>
              <w:t xml:space="preserve">a </w:t>
            </w:r>
            <w:r w:rsidR="00DD62A6" w:rsidRPr="00913813">
              <w:rPr>
                <w:rFonts w:asciiTheme="minorHAnsi" w:hAnsiTheme="minorHAnsi" w:cstheme="minorHAnsi"/>
                <w:color w:val="222222"/>
                <w:sz w:val="16"/>
                <w:szCs w:val="16"/>
              </w:rPr>
              <w:t>research project on further enabling mechanisms for auditor professionalisation</w:t>
            </w:r>
            <w:r w:rsidR="000F3A02">
              <w:rPr>
                <w:rFonts w:asciiTheme="minorHAnsi" w:hAnsiTheme="minorHAnsi" w:cstheme="minorHAnsi"/>
                <w:color w:val="222222"/>
                <w:sz w:val="16"/>
                <w:szCs w:val="16"/>
              </w:rPr>
              <w:t xml:space="preserve"> will be developed (targeted for 2024)</w:t>
            </w:r>
            <w:r w:rsidR="00413B6C">
              <w:rPr>
                <w:rFonts w:asciiTheme="minorHAnsi" w:hAnsiTheme="minorHAnsi" w:cstheme="minorHAnsi"/>
                <w:color w:val="222222"/>
                <w:sz w:val="16"/>
                <w:szCs w:val="16"/>
              </w:rPr>
              <w:t>.</w:t>
            </w:r>
          </w:p>
          <w:p w14:paraId="61253570" w14:textId="77777777" w:rsidR="00DD62A6" w:rsidRPr="00913813" w:rsidRDefault="00DD62A6" w:rsidP="00DD62A6">
            <w:pPr>
              <w:spacing w:line="276" w:lineRule="auto"/>
              <w:rPr>
                <w:rFonts w:asciiTheme="minorHAnsi" w:hAnsiTheme="minorHAnsi" w:cstheme="minorHAnsi"/>
                <w:color w:val="222222"/>
                <w:sz w:val="16"/>
                <w:szCs w:val="16"/>
              </w:rPr>
            </w:pPr>
          </w:p>
          <w:p w14:paraId="351497A3" w14:textId="77777777" w:rsidR="00A31C3A" w:rsidRDefault="00413B6C" w:rsidP="00413B6C">
            <w:pPr>
              <w:spacing w:line="276" w:lineRule="auto"/>
              <w:rPr>
                <w:rFonts w:asciiTheme="minorHAnsi" w:hAnsiTheme="minorHAnsi" w:cstheme="minorHAnsi"/>
                <w:color w:val="222222"/>
                <w:sz w:val="16"/>
                <w:szCs w:val="16"/>
              </w:rPr>
            </w:pPr>
            <w:r>
              <w:rPr>
                <w:rFonts w:asciiTheme="minorHAnsi" w:hAnsiTheme="minorHAnsi" w:cstheme="minorHAnsi"/>
                <w:color w:val="222222"/>
                <w:sz w:val="16"/>
                <w:szCs w:val="16"/>
              </w:rPr>
              <w:t>The actual research project will play out during 2024, with the development of a p</w:t>
            </w:r>
            <w:r w:rsidR="00DD62A6" w:rsidRPr="00913813">
              <w:rPr>
                <w:rFonts w:asciiTheme="minorHAnsi" w:hAnsiTheme="minorHAnsi" w:cstheme="minorHAnsi"/>
                <w:color w:val="222222"/>
                <w:sz w:val="16"/>
                <w:szCs w:val="16"/>
              </w:rPr>
              <w:t xml:space="preserve">osition paper (or more appropriate format, depending on project / outcome) </w:t>
            </w:r>
            <w:r w:rsidR="008979A3">
              <w:rPr>
                <w:rFonts w:asciiTheme="minorHAnsi" w:hAnsiTheme="minorHAnsi" w:cstheme="minorHAnsi"/>
                <w:color w:val="222222"/>
                <w:sz w:val="16"/>
                <w:szCs w:val="16"/>
              </w:rPr>
              <w:t xml:space="preserve">will be </w:t>
            </w:r>
            <w:r w:rsidR="00DD62A6" w:rsidRPr="00913813">
              <w:rPr>
                <w:rFonts w:asciiTheme="minorHAnsi" w:hAnsiTheme="minorHAnsi" w:cstheme="minorHAnsi"/>
                <w:color w:val="222222"/>
                <w:sz w:val="16"/>
                <w:szCs w:val="16"/>
              </w:rPr>
              <w:t>ready for consideration / adoption at INCOSAI 2025.</w:t>
            </w:r>
          </w:p>
          <w:p w14:paraId="09EBC336" w14:textId="77777777" w:rsidR="008979A3" w:rsidRDefault="008979A3" w:rsidP="00413B6C">
            <w:pPr>
              <w:spacing w:line="276" w:lineRule="auto"/>
              <w:rPr>
                <w:rFonts w:asciiTheme="minorHAnsi" w:hAnsiTheme="minorHAnsi" w:cstheme="minorHAnsi"/>
                <w:color w:val="222222"/>
                <w:sz w:val="16"/>
                <w:szCs w:val="16"/>
              </w:rPr>
            </w:pPr>
          </w:p>
          <w:p w14:paraId="7011D15A" w14:textId="35424951" w:rsidR="008979A3" w:rsidRPr="008979A3" w:rsidRDefault="008979A3" w:rsidP="00413B6C">
            <w:pPr>
              <w:spacing w:line="276" w:lineRule="auto"/>
              <w:rPr>
                <w:rFonts w:asciiTheme="minorHAnsi" w:hAnsiTheme="minorHAnsi" w:cstheme="minorHAnsi"/>
                <w:color w:val="222222"/>
                <w:sz w:val="16"/>
                <w:szCs w:val="16"/>
              </w:rPr>
            </w:pPr>
            <w:r>
              <w:rPr>
                <w:rFonts w:asciiTheme="minorHAnsi" w:hAnsiTheme="minorHAnsi" w:cstheme="minorHAnsi"/>
                <w:color w:val="222222"/>
                <w:sz w:val="16"/>
                <w:szCs w:val="16"/>
              </w:rPr>
              <w:t xml:space="preserve">No detailed </w:t>
            </w:r>
            <w:r w:rsidR="00F477F0">
              <w:rPr>
                <w:rFonts w:asciiTheme="minorHAnsi" w:hAnsiTheme="minorHAnsi" w:cstheme="minorHAnsi"/>
                <w:color w:val="222222"/>
                <w:sz w:val="16"/>
                <w:szCs w:val="16"/>
              </w:rPr>
              <w:t xml:space="preserve">project </w:t>
            </w:r>
            <w:r>
              <w:rPr>
                <w:rFonts w:asciiTheme="minorHAnsi" w:hAnsiTheme="minorHAnsi" w:cstheme="minorHAnsi"/>
                <w:color w:val="222222"/>
                <w:sz w:val="16"/>
                <w:szCs w:val="16"/>
              </w:rPr>
              <w:t>risks have been identified at this early stage</w:t>
            </w:r>
            <w:r w:rsidR="00F477F0">
              <w:rPr>
                <w:rFonts w:asciiTheme="minorHAnsi" w:hAnsiTheme="minorHAnsi" w:cstheme="minorHAnsi"/>
                <w:color w:val="222222"/>
                <w:sz w:val="16"/>
                <w:szCs w:val="16"/>
              </w:rPr>
              <w:t>. From previous experience, a possible risk that may arise</w:t>
            </w:r>
            <w:r w:rsidR="00E420B7">
              <w:rPr>
                <w:rFonts w:asciiTheme="minorHAnsi" w:hAnsiTheme="minorHAnsi" w:cstheme="minorHAnsi"/>
                <w:color w:val="222222"/>
                <w:sz w:val="16"/>
                <w:szCs w:val="16"/>
              </w:rPr>
              <w:t xml:space="preserve"> can related to availability of appropriate research capacity. The TFIAP envisage working with IDI and INTOSAI regional organisations</w:t>
            </w:r>
            <w:r w:rsidR="00CF079C">
              <w:rPr>
                <w:rFonts w:asciiTheme="minorHAnsi" w:hAnsiTheme="minorHAnsi" w:cstheme="minorHAnsi"/>
                <w:color w:val="222222"/>
                <w:sz w:val="16"/>
                <w:szCs w:val="16"/>
              </w:rPr>
              <w:t>, leveraging on their databases, to address this risk.</w:t>
            </w:r>
          </w:p>
        </w:tc>
      </w:tr>
      <w:tr w:rsidR="0012276E" w:rsidRPr="001E767F" w14:paraId="7949E6F4" w14:textId="77777777" w:rsidTr="006B394D">
        <w:trPr>
          <w:trHeight w:val="2387"/>
        </w:trPr>
        <w:tc>
          <w:tcPr>
            <w:tcW w:w="1731" w:type="dxa"/>
            <w:vMerge/>
          </w:tcPr>
          <w:p w14:paraId="766F2F13" w14:textId="77777777" w:rsidR="0012276E" w:rsidRPr="001E767F" w:rsidRDefault="0012276E" w:rsidP="0012276E">
            <w:pPr>
              <w:spacing w:before="240" w:after="120"/>
              <w:rPr>
                <w:rFonts w:ascii="Calibri" w:eastAsia="Calibri" w:hAnsi="Calibri"/>
                <w:b/>
                <w:spacing w:val="-2"/>
                <w:sz w:val="16"/>
                <w:szCs w:val="16"/>
                <w:lang w:val="en-ZA"/>
              </w:rPr>
            </w:pPr>
          </w:p>
        </w:tc>
        <w:tc>
          <w:tcPr>
            <w:tcW w:w="1843" w:type="dxa"/>
            <w:vAlign w:val="center"/>
          </w:tcPr>
          <w:p w14:paraId="226DE510" w14:textId="0C303F5E" w:rsidR="0012276E" w:rsidRPr="001E767F" w:rsidRDefault="0012276E" w:rsidP="0012276E">
            <w:pPr>
              <w:spacing w:before="240" w:after="120"/>
              <w:rPr>
                <w:rFonts w:ascii="Calibri" w:eastAsia="Calibri" w:hAnsi="Calibri"/>
                <w:color w:val="404040" w:themeColor="text1" w:themeTint="BF"/>
                <w:spacing w:val="-2"/>
                <w:sz w:val="16"/>
                <w:szCs w:val="16"/>
              </w:rPr>
            </w:pPr>
            <w:r w:rsidRPr="00913813">
              <w:rPr>
                <w:rFonts w:asciiTheme="minorHAnsi" w:hAnsiTheme="minorHAnsi" w:cstheme="minorHAnsi"/>
                <w:iCs/>
                <w:sz w:val="16"/>
                <w:szCs w:val="16"/>
                <w:lang w:val="en-ZA"/>
              </w:rPr>
              <w:t>Utilising the newly approved ISSAI 150 on auditor competence, its related guidance (GUID 1950 and 1951) and the guide on human resource management practices as a basis, strive for successful adoption and implementation of these pronouncements, through various initiatives as outlined in initiatives in columns to the right.</w:t>
            </w:r>
          </w:p>
        </w:tc>
        <w:tc>
          <w:tcPr>
            <w:tcW w:w="1842" w:type="dxa"/>
            <w:shd w:val="clear" w:color="auto" w:fill="92D050"/>
            <w:vAlign w:val="center"/>
          </w:tcPr>
          <w:p w14:paraId="6CF965B6" w14:textId="4D2051A3" w:rsidR="0012276E" w:rsidRPr="001E767F" w:rsidRDefault="0012276E" w:rsidP="0012276E">
            <w:pPr>
              <w:spacing w:before="120" w:after="120"/>
              <w:rPr>
                <w:rFonts w:ascii="Calibri" w:hAnsi="Calibri"/>
                <w:sz w:val="16"/>
                <w:szCs w:val="16"/>
              </w:rPr>
            </w:pPr>
          </w:p>
        </w:tc>
        <w:tc>
          <w:tcPr>
            <w:tcW w:w="9186" w:type="dxa"/>
            <w:vAlign w:val="center"/>
          </w:tcPr>
          <w:p w14:paraId="33E89644" w14:textId="77777777" w:rsidR="0012276E" w:rsidRDefault="00961E19" w:rsidP="0012276E">
            <w:pPr>
              <w:spacing w:before="240" w:after="120"/>
              <w:rPr>
                <w:rFonts w:ascii="Calibri" w:eastAsia="Calibri" w:hAnsi="Calibri"/>
                <w:color w:val="404040" w:themeColor="text1" w:themeTint="BF"/>
                <w:spacing w:val="-2"/>
                <w:sz w:val="16"/>
                <w:szCs w:val="16"/>
              </w:rPr>
            </w:pPr>
            <w:r>
              <w:rPr>
                <w:rFonts w:ascii="Calibri" w:eastAsia="Calibri" w:hAnsi="Calibri"/>
                <w:color w:val="404040" w:themeColor="text1" w:themeTint="BF"/>
                <w:spacing w:val="-2"/>
                <w:sz w:val="16"/>
                <w:szCs w:val="16"/>
              </w:rPr>
              <w:t>This area of focus contains 6 sub-sections</w:t>
            </w:r>
            <w:r w:rsidR="000E5C49">
              <w:rPr>
                <w:rFonts w:ascii="Calibri" w:eastAsia="Calibri" w:hAnsi="Calibri"/>
                <w:color w:val="404040" w:themeColor="text1" w:themeTint="BF"/>
                <w:spacing w:val="-2"/>
                <w:sz w:val="16"/>
                <w:szCs w:val="16"/>
              </w:rPr>
              <w:t xml:space="preserve">. </w:t>
            </w:r>
          </w:p>
          <w:p w14:paraId="0FE8C4BA" w14:textId="5A4B18D6" w:rsidR="006D2C18" w:rsidRDefault="000E5C49" w:rsidP="000E5C49">
            <w:pPr>
              <w:pStyle w:val="ListParagraph"/>
              <w:numPr>
                <w:ilvl w:val="0"/>
                <w:numId w:val="31"/>
              </w:numPr>
              <w:spacing w:before="240" w:after="120"/>
              <w:rPr>
                <w:rFonts w:ascii="Calibri" w:eastAsia="Calibri" w:hAnsi="Calibri"/>
                <w:color w:val="404040" w:themeColor="text1" w:themeTint="BF"/>
                <w:spacing w:val="-2"/>
                <w:sz w:val="16"/>
                <w:szCs w:val="16"/>
              </w:rPr>
            </w:pPr>
            <w:r w:rsidRPr="00516A57">
              <w:rPr>
                <w:rFonts w:ascii="Calibri" w:eastAsia="Calibri" w:hAnsi="Calibri"/>
                <w:b/>
                <w:bCs/>
                <w:color w:val="404040" w:themeColor="text1" w:themeTint="BF"/>
                <w:spacing w:val="-2"/>
                <w:sz w:val="16"/>
                <w:szCs w:val="16"/>
              </w:rPr>
              <w:t>Advocacy through sharing of case studies</w:t>
            </w:r>
            <w:r w:rsidR="00516A57" w:rsidRPr="00516A57">
              <w:rPr>
                <w:rFonts w:ascii="Calibri" w:eastAsia="Calibri" w:hAnsi="Calibri"/>
                <w:b/>
                <w:bCs/>
                <w:color w:val="404040" w:themeColor="text1" w:themeTint="BF"/>
                <w:spacing w:val="-2"/>
                <w:sz w:val="16"/>
                <w:szCs w:val="16"/>
              </w:rPr>
              <w:t>, webinars and communities of practice</w:t>
            </w:r>
            <w:r w:rsidR="00516A57">
              <w:rPr>
                <w:rFonts w:ascii="Calibri" w:eastAsia="Calibri" w:hAnsi="Calibri"/>
                <w:color w:val="404040" w:themeColor="text1" w:themeTint="BF"/>
                <w:spacing w:val="-2"/>
                <w:sz w:val="16"/>
                <w:szCs w:val="16"/>
              </w:rPr>
              <w:t xml:space="preserve"> – first CBC blogspots have been issued, with more in</w:t>
            </w:r>
            <w:r w:rsidR="00A22E2A">
              <w:rPr>
                <w:rFonts w:ascii="Calibri" w:eastAsia="Calibri" w:hAnsi="Calibri"/>
                <w:color w:val="404040" w:themeColor="text1" w:themeTint="BF"/>
                <w:spacing w:val="-2"/>
                <w:sz w:val="16"/>
                <w:szCs w:val="16"/>
              </w:rPr>
              <w:t xml:space="preserve"> </w:t>
            </w:r>
            <w:r w:rsidR="00516A57">
              <w:rPr>
                <w:rFonts w:ascii="Calibri" w:eastAsia="Calibri" w:hAnsi="Calibri"/>
                <w:color w:val="404040" w:themeColor="text1" w:themeTint="BF"/>
                <w:spacing w:val="-2"/>
                <w:sz w:val="16"/>
                <w:szCs w:val="16"/>
              </w:rPr>
              <w:t>pipeline</w:t>
            </w:r>
            <w:r w:rsidR="00A22E2A">
              <w:rPr>
                <w:rFonts w:ascii="Calibri" w:eastAsia="Calibri" w:hAnsi="Calibri"/>
                <w:color w:val="404040" w:themeColor="text1" w:themeTint="BF"/>
                <w:spacing w:val="-2"/>
                <w:sz w:val="16"/>
                <w:szCs w:val="16"/>
              </w:rPr>
              <w:t xml:space="preserve">. </w:t>
            </w:r>
            <w:r w:rsidR="008762AA">
              <w:rPr>
                <w:rFonts w:ascii="Calibri" w:eastAsia="Calibri" w:hAnsi="Calibri"/>
                <w:color w:val="404040" w:themeColor="text1" w:themeTint="BF"/>
                <w:spacing w:val="-2"/>
                <w:sz w:val="16"/>
                <w:szCs w:val="16"/>
              </w:rPr>
              <w:t>A webinar</w:t>
            </w:r>
            <w:r w:rsidR="00A22E2A">
              <w:rPr>
                <w:rFonts w:ascii="Calibri" w:eastAsia="Calibri" w:hAnsi="Calibri"/>
                <w:color w:val="404040" w:themeColor="text1" w:themeTint="BF"/>
                <w:spacing w:val="-2"/>
                <w:sz w:val="16"/>
                <w:szCs w:val="16"/>
              </w:rPr>
              <w:t xml:space="preserve"> is envisaged for September 2023. (</w:t>
            </w:r>
            <w:r w:rsidR="006D2C18">
              <w:rPr>
                <w:rFonts w:ascii="Calibri" w:eastAsia="Calibri" w:hAnsi="Calibri"/>
                <w:color w:val="404040" w:themeColor="text1" w:themeTint="BF"/>
                <w:spacing w:val="-2"/>
                <w:sz w:val="16"/>
                <w:szCs w:val="16"/>
              </w:rPr>
              <w:t>A risk relating to the TFIAP’s ability to source case studies was anticipated, but the current flood of offers has essentially negated this),</w:t>
            </w:r>
          </w:p>
          <w:p w14:paraId="1660294E" w14:textId="2427B207" w:rsidR="0027684B" w:rsidRPr="0027684B" w:rsidRDefault="003658CB" w:rsidP="000E5C49">
            <w:pPr>
              <w:pStyle w:val="ListParagraph"/>
              <w:numPr>
                <w:ilvl w:val="0"/>
                <w:numId w:val="31"/>
              </w:numPr>
              <w:spacing w:before="240" w:after="120"/>
              <w:rPr>
                <w:rFonts w:ascii="Calibri" w:eastAsia="Calibri" w:hAnsi="Calibri"/>
                <w:color w:val="404040" w:themeColor="text1" w:themeTint="BF"/>
                <w:spacing w:val="-2"/>
                <w:sz w:val="16"/>
                <w:szCs w:val="16"/>
              </w:rPr>
            </w:pPr>
            <w:r w:rsidRPr="003658CB">
              <w:rPr>
                <w:rFonts w:ascii="Calibri" w:eastAsia="Calibri" w:hAnsi="Calibri"/>
                <w:b/>
                <w:bCs/>
                <w:color w:val="404040" w:themeColor="text1" w:themeTint="BF"/>
                <w:spacing w:val="-2"/>
                <w:sz w:val="16"/>
                <w:szCs w:val="16"/>
              </w:rPr>
              <w:t>Cementing SAI-PAO relationships as an enabler of professionalisation sustainability</w:t>
            </w:r>
            <w:r>
              <w:rPr>
                <w:rFonts w:ascii="Calibri" w:eastAsia="Calibri" w:hAnsi="Calibri"/>
                <w:color w:val="404040" w:themeColor="text1" w:themeTint="BF"/>
                <w:spacing w:val="-2"/>
                <w:sz w:val="16"/>
                <w:szCs w:val="16"/>
              </w:rPr>
              <w:t xml:space="preserve"> </w:t>
            </w:r>
            <w:r w:rsidR="00F71C76">
              <w:rPr>
                <w:rFonts w:ascii="Calibri" w:eastAsia="Calibri" w:hAnsi="Calibri"/>
                <w:color w:val="404040" w:themeColor="text1" w:themeTint="BF"/>
                <w:spacing w:val="-2"/>
                <w:sz w:val="16"/>
                <w:szCs w:val="16"/>
              </w:rPr>
              <w:t>–</w:t>
            </w:r>
            <w:r>
              <w:rPr>
                <w:rFonts w:ascii="Calibri" w:eastAsia="Calibri" w:hAnsi="Calibri"/>
                <w:color w:val="404040" w:themeColor="text1" w:themeTint="BF"/>
                <w:spacing w:val="-2"/>
                <w:sz w:val="16"/>
                <w:szCs w:val="16"/>
              </w:rPr>
              <w:t xml:space="preserve"> </w:t>
            </w:r>
            <w:r w:rsidR="00F71C76">
              <w:rPr>
                <w:rFonts w:ascii="Calibri" w:eastAsia="Calibri" w:hAnsi="Calibri"/>
                <w:color w:val="404040" w:themeColor="text1" w:themeTint="BF"/>
                <w:spacing w:val="-2"/>
                <w:sz w:val="16"/>
                <w:szCs w:val="16"/>
              </w:rPr>
              <w:t>the process of establishing relationships is underway, with positive reaction receive</w:t>
            </w:r>
            <w:r w:rsidR="006B1C57">
              <w:rPr>
                <w:rFonts w:ascii="Calibri" w:eastAsia="Calibri" w:hAnsi="Calibri"/>
                <w:color w:val="404040" w:themeColor="text1" w:themeTint="BF"/>
                <w:spacing w:val="-2"/>
                <w:sz w:val="16"/>
                <w:szCs w:val="16"/>
              </w:rPr>
              <w:t>d, also note emphasis in upcoming CBC meeting in Jamaica. (</w:t>
            </w:r>
            <w:r w:rsidR="008762AA">
              <w:rPr>
                <w:rFonts w:ascii="Calibri" w:eastAsia="Calibri" w:hAnsi="Calibri"/>
                <w:color w:val="404040" w:themeColor="text1" w:themeTint="BF"/>
                <w:spacing w:val="-2"/>
                <w:sz w:val="16"/>
                <w:szCs w:val="16"/>
              </w:rPr>
              <w:t>There</w:t>
            </w:r>
            <w:r w:rsidR="00720220">
              <w:rPr>
                <w:rFonts w:ascii="Calibri" w:eastAsia="Calibri" w:hAnsi="Calibri"/>
                <w:color w:val="404040" w:themeColor="text1" w:themeTint="BF"/>
                <w:spacing w:val="-2"/>
                <w:sz w:val="16"/>
                <w:szCs w:val="16"/>
              </w:rPr>
              <w:t xml:space="preserve"> is a definite risk</w:t>
            </w:r>
            <w:r w:rsidR="006B1C57">
              <w:rPr>
                <w:rFonts w:ascii="Calibri" w:eastAsia="Calibri" w:hAnsi="Calibri"/>
                <w:color w:val="404040" w:themeColor="text1" w:themeTint="BF"/>
                <w:spacing w:val="-2"/>
                <w:sz w:val="16"/>
                <w:szCs w:val="16"/>
              </w:rPr>
              <w:t xml:space="preserve"> relat</w:t>
            </w:r>
            <w:r w:rsidR="00720220">
              <w:rPr>
                <w:rFonts w:ascii="Calibri" w:eastAsia="Calibri" w:hAnsi="Calibri"/>
                <w:color w:val="404040" w:themeColor="text1" w:themeTint="BF"/>
                <w:spacing w:val="-2"/>
                <w:sz w:val="16"/>
                <w:szCs w:val="16"/>
              </w:rPr>
              <w:t>ing</w:t>
            </w:r>
            <w:r w:rsidR="006B1C57">
              <w:rPr>
                <w:rFonts w:ascii="Calibri" w:eastAsia="Calibri" w:hAnsi="Calibri"/>
                <w:color w:val="404040" w:themeColor="text1" w:themeTint="BF"/>
                <w:spacing w:val="-2"/>
                <w:sz w:val="16"/>
                <w:szCs w:val="16"/>
              </w:rPr>
              <w:t xml:space="preserve"> to </w:t>
            </w:r>
            <w:r w:rsidR="00720220">
              <w:rPr>
                <w:rFonts w:ascii="Calibri" w:eastAsia="Calibri" w:hAnsi="Calibri"/>
                <w:color w:val="404040" w:themeColor="text1" w:themeTint="BF"/>
                <w:spacing w:val="-2"/>
                <w:sz w:val="16"/>
                <w:szCs w:val="16"/>
              </w:rPr>
              <w:t xml:space="preserve">the </w:t>
            </w:r>
            <w:r w:rsidR="006B1C57">
              <w:rPr>
                <w:rFonts w:ascii="Calibri" w:eastAsia="Calibri" w:hAnsi="Calibri"/>
                <w:color w:val="404040" w:themeColor="text1" w:themeTint="BF"/>
                <w:spacing w:val="-2"/>
                <w:sz w:val="16"/>
                <w:szCs w:val="16"/>
              </w:rPr>
              <w:t xml:space="preserve">uptake of this concept </w:t>
            </w:r>
            <w:r w:rsidR="00720220">
              <w:rPr>
                <w:rFonts w:ascii="Calibri" w:eastAsia="Calibri" w:hAnsi="Calibri"/>
                <w:color w:val="404040" w:themeColor="text1" w:themeTint="BF"/>
                <w:spacing w:val="-2"/>
                <w:sz w:val="16"/>
                <w:szCs w:val="16"/>
              </w:rPr>
              <w:t xml:space="preserve">in both the SAI and PAO sectors – risk response will be finalized towards </w:t>
            </w:r>
            <w:r w:rsidR="001C0ECE">
              <w:rPr>
                <w:rFonts w:ascii="Calibri" w:eastAsia="Calibri" w:hAnsi="Calibri"/>
                <w:color w:val="404040" w:themeColor="text1" w:themeTint="BF"/>
                <w:spacing w:val="-2"/>
                <w:sz w:val="16"/>
                <w:szCs w:val="16"/>
              </w:rPr>
              <w:t>the end</w:t>
            </w:r>
            <w:r w:rsidR="00720220">
              <w:rPr>
                <w:rFonts w:ascii="Calibri" w:eastAsia="Calibri" w:hAnsi="Calibri"/>
                <w:color w:val="404040" w:themeColor="text1" w:themeTint="BF"/>
                <w:spacing w:val="-2"/>
                <w:sz w:val="16"/>
                <w:szCs w:val="16"/>
              </w:rPr>
              <w:t xml:space="preserve"> of the year when more information in this regard is available. For </w:t>
            </w:r>
            <w:r w:rsidR="008762AA">
              <w:rPr>
                <w:rFonts w:ascii="Calibri" w:eastAsia="Calibri" w:hAnsi="Calibri"/>
                <w:color w:val="404040" w:themeColor="text1" w:themeTint="BF"/>
                <w:spacing w:val="-2"/>
                <w:sz w:val="16"/>
                <w:szCs w:val="16"/>
              </w:rPr>
              <w:t>now,</w:t>
            </w:r>
            <w:r w:rsidR="00720220">
              <w:rPr>
                <w:rFonts w:ascii="Calibri" w:eastAsia="Calibri" w:hAnsi="Calibri"/>
                <w:color w:val="404040" w:themeColor="text1" w:themeTint="BF"/>
                <w:spacing w:val="-2"/>
                <w:sz w:val="16"/>
                <w:szCs w:val="16"/>
              </w:rPr>
              <w:t xml:space="preserve"> the emphasis in this regard is on </w:t>
            </w:r>
            <w:r w:rsidR="00B80630">
              <w:rPr>
                <w:rFonts w:ascii="Calibri" w:eastAsia="Calibri" w:hAnsi="Calibri"/>
                <w:color w:val="404040" w:themeColor="text1" w:themeTint="BF"/>
                <w:spacing w:val="-2"/>
                <w:sz w:val="16"/>
                <w:szCs w:val="16"/>
              </w:rPr>
              <w:t>being as inclusive as possible in engaging PAOs and SAIs on the topic</w:t>
            </w:r>
            <w:r w:rsidR="00D047C3">
              <w:rPr>
                <w:rFonts w:ascii="Calibri" w:eastAsia="Calibri" w:hAnsi="Calibri"/>
                <w:color w:val="404040" w:themeColor="text1" w:themeTint="BF"/>
                <w:spacing w:val="-2"/>
                <w:sz w:val="16"/>
                <w:szCs w:val="16"/>
              </w:rPr>
              <w:t>,</w:t>
            </w:r>
          </w:p>
          <w:p w14:paraId="57B7C96F" w14:textId="43E0D71A" w:rsidR="000E5C49" w:rsidRDefault="00AF4E0D" w:rsidP="000E5C49">
            <w:pPr>
              <w:pStyle w:val="ListParagraph"/>
              <w:numPr>
                <w:ilvl w:val="0"/>
                <w:numId w:val="31"/>
              </w:numPr>
              <w:spacing w:before="240" w:after="120"/>
              <w:rPr>
                <w:rFonts w:ascii="Calibri" w:eastAsia="Calibri" w:hAnsi="Calibri"/>
                <w:color w:val="404040" w:themeColor="text1" w:themeTint="BF"/>
                <w:spacing w:val="-2"/>
                <w:sz w:val="16"/>
                <w:szCs w:val="16"/>
              </w:rPr>
            </w:pPr>
            <w:r w:rsidRPr="00AF4E0D">
              <w:rPr>
                <w:rFonts w:ascii="Calibri" w:eastAsia="Calibri" w:hAnsi="Calibri"/>
                <w:b/>
                <w:bCs/>
                <w:color w:val="404040" w:themeColor="text1" w:themeTint="BF"/>
                <w:spacing w:val="-2"/>
                <w:sz w:val="16"/>
                <w:szCs w:val="16"/>
              </w:rPr>
              <w:t>Support to PESA</w:t>
            </w:r>
            <w:r>
              <w:rPr>
                <w:rFonts w:ascii="Calibri" w:eastAsia="Calibri" w:hAnsi="Calibri"/>
                <w:color w:val="404040" w:themeColor="text1" w:themeTint="BF"/>
                <w:spacing w:val="-2"/>
                <w:sz w:val="16"/>
                <w:szCs w:val="16"/>
              </w:rPr>
              <w:t xml:space="preserve"> </w:t>
            </w:r>
            <w:r w:rsidR="001C0ECE">
              <w:rPr>
                <w:rFonts w:ascii="Calibri" w:eastAsia="Calibri" w:hAnsi="Calibri"/>
                <w:color w:val="404040" w:themeColor="text1" w:themeTint="BF"/>
                <w:spacing w:val="-2"/>
                <w:sz w:val="16"/>
                <w:szCs w:val="16"/>
              </w:rPr>
              <w:t>- agreement</w:t>
            </w:r>
            <w:r w:rsidR="00B80630">
              <w:rPr>
                <w:rFonts w:ascii="Calibri" w:eastAsia="Calibri" w:hAnsi="Calibri"/>
                <w:color w:val="404040" w:themeColor="text1" w:themeTint="BF"/>
                <w:spacing w:val="-2"/>
                <w:sz w:val="16"/>
                <w:szCs w:val="16"/>
              </w:rPr>
              <w:t xml:space="preserve"> with IDI has been confirmed and </w:t>
            </w:r>
            <w:r w:rsidR="00C20721">
              <w:rPr>
                <w:rFonts w:ascii="Calibri" w:eastAsia="Calibri" w:hAnsi="Calibri"/>
                <w:color w:val="404040" w:themeColor="text1" w:themeTint="BF"/>
                <w:spacing w:val="-2"/>
                <w:sz w:val="16"/>
                <w:szCs w:val="16"/>
              </w:rPr>
              <w:t xml:space="preserve">support remains ongoing. </w:t>
            </w:r>
            <w:r w:rsidR="008F3FE3">
              <w:rPr>
                <w:rFonts w:ascii="Calibri" w:eastAsia="Calibri" w:hAnsi="Calibri"/>
                <w:color w:val="404040" w:themeColor="text1" w:themeTint="BF"/>
                <w:spacing w:val="-2"/>
                <w:sz w:val="16"/>
                <w:szCs w:val="16"/>
              </w:rPr>
              <w:t>Detail discussion still</w:t>
            </w:r>
            <w:r w:rsidR="00404F15">
              <w:rPr>
                <w:rFonts w:ascii="Calibri" w:eastAsia="Calibri" w:hAnsi="Calibri"/>
                <w:color w:val="404040" w:themeColor="text1" w:themeTint="BF"/>
                <w:spacing w:val="-2"/>
                <w:sz w:val="16"/>
                <w:szCs w:val="16"/>
              </w:rPr>
              <w:t xml:space="preserve"> need to follow to plan for future developments, after which risk assessment will follow</w:t>
            </w:r>
            <w:r w:rsidR="00D047C3">
              <w:rPr>
                <w:rFonts w:ascii="Calibri" w:eastAsia="Calibri" w:hAnsi="Calibri"/>
                <w:color w:val="404040" w:themeColor="text1" w:themeTint="BF"/>
                <w:spacing w:val="-2"/>
                <w:sz w:val="16"/>
                <w:szCs w:val="16"/>
              </w:rPr>
              <w:t>,</w:t>
            </w:r>
          </w:p>
          <w:p w14:paraId="500288D6" w14:textId="2A1151DF" w:rsidR="00404F15" w:rsidRDefault="00404F15" w:rsidP="000E5C49">
            <w:pPr>
              <w:pStyle w:val="ListParagraph"/>
              <w:numPr>
                <w:ilvl w:val="0"/>
                <w:numId w:val="31"/>
              </w:numPr>
              <w:spacing w:before="240" w:after="120"/>
              <w:rPr>
                <w:rFonts w:ascii="Calibri" w:eastAsia="Calibri" w:hAnsi="Calibri"/>
                <w:color w:val="404040" w:themeColor="text1" w:themeTint="BF"/>
                <w:spacing w:val="-2"/>
                <w:sz w:val="16"/>
                <w:szCs w:val="16"/>
              </w:rPr>
            </w:pPr>
            <w:r>
              <w:rPr>
                <w:rFonts w:ascii="Calibri" w:eastAsia="Calibri" w:hAnsi="Calibri"/>
                <w:b/>
                <w:bCs/>
                <w:color w:val="404040" w:themeColor="text1" w:themeTint="BF"/>
                <w:spacing w:val="-2"/>
                <w:sz w:val="16"/>
                <w:szCs w:val="16"/>
              </w:rPr>
              <w:t xml:space="preserve">Support to TOGETHER program </w:t>
            </w:r>
            <w:r>
              <w:rPr>
                <w:rFonts w:ascii="Calibri" w:eastAsia="Calibri" w:hAnsi="Calibri"/>
                <w:color w:val="404040" w:themeColor="text1" w:themeTint="BF"/>
                <w:spacing w:val="-2"/>
                <w:sz w:val="16"/>
                <w:szCs w:val="16"/>
              </w:rPr>
              <w:t xml:space="preserve">– discussion with IDI has </w:t>
            </w:r>
            <w:r w:rsidR="001C0ECE">
              <w:rPr>
                <w:rFonts w:ascii="Calibri" w:eastAsia="Calibri" w:hAnsi="Calibri"/>
                <w:color w:val="404040" w:themeColor="text1" w:themeTint="BF"/>
                <w:spacing w:val="-2"/>
                <w:sz w:val="16"/>
                <w:szCs w:val="16"/>
              </w:rPr>
              <w:t>commenced but</w:t>
            </w:r>
            <w:r>
              <w:rPr>
                <w:rFonts w:ascii="Calibri" w:eastAsia="Calibri" w:hAnsi="Calibri"/>
                <w:color w:val="404040" w:themeColor="text1" w:themeTint="BF"/>
                <w:spacing w:val="-2"/>
                <w:sz w:val="16"/>
                <w:szCs w:val="16"/>
              </w:rPr>
              <w:t xml:space="preserve"> </w:t>
            </w:r>
            <w:r w:rsidR="001C0ECE">
              <w:rPr>
                <w:rFonts w:ascii="Calibri" w:eastAsia="Calibri" w:hAnsi="Calibri"/>
                <w:color w:val="404040" w:themeColor="text1" w:themeTint="BF"/>
                <w:spacing w:val="-2"/>
                <w:sz w:val="16"/>
                <w:szCs w:val="16"/>
              </w:rPr>
              <w:t>needs</w:t>
            </w:r>
            <w:r>
              <w:rPr>
                <w:rFonts w:ascii="Calibri" w:eastAsia="Calibri" w:hAnsi="Calibri"/>
                <w:color w:val="404040" w:themeColor="text1" w:themeTint="BF"/>
                <w:spacing w:val="-2"/>
                <w:sz w:val="16"/>
                <w:szCs w:val="16"/>
              </w:rPr>
              <w:t xml:space="preserve"> to be concluded. This is the only one of the six initiatives that still needs focused attention to unpack</w:t>
            </w:r>
            <w:r w:rsidR="00D047C3">
              <w:rPr>
                <w:rFonts w:ascii="Calibri" w:eastAsia="Calibri" w:hAnsi="Calibri"/>
                <w:color w:val="404040" w:themeColor="text1" w:themeTint="BF"/>
                <w:spacing w:val="-2"/>
                <w:sz w:val="16"/>
                <w:szCs w:val="16"/>
              </w:rPr>
              <w:t>,</w:t>
            </w:r>
          </w:p>
          <w:p w14:paraId="013D2BAD" w14:textId="77777777" w:rsidR="00404F15" w:rsidRDefault="00D047C3" w:rsidP="000E5C49">
            <w:pPr>
              <w:pStyle w:val="ListParagraph"/>
              <w:numPr>
                <w:ilvl w:val="0"/>
                <w:numId w:val="31"/>
              </w:numPr>
              <w:spacing w:before="240" w:after="120"/>
              <w:rPr>
                <w:rFonts w:ascii="Calibri" w:eastAsia="Calibri" w:hAnsi="Calibri"/>
                <w:color w:val="404040" w:themeColor="text1" w:themeTint="BF"/>
                <w:spacing w:val="-2"/>
                <w:sz w:val="16"/>
                <w:szCs w:val="16"/>
              </w:rPr>
            </w:pPr>
            <w:r>
              <w:rPr>
                <w:rFonts w:ascii="Calibri" w:eastAsia="Calibri" w:hAnsi="Calibri"/>
                <w:b/>
                <w:bCs/>
                <w:color w:val="404040" w:themeColor="text1" w:themeTint="BF"/>
                <w:spacing w:val="-2"/>
                <w:sz w:val="16"/>
                <w:szCs w:val="16"/>
              </w:rPr>
              <w:t xml:space="preserve">Support to SAI PMF rework </w:t>
            </w:r>
            <w:r>
              <w:rPr>
                <w:rFonts w:ascii="Calibri" w:eastAsia="Calibri" w:hAnsi="Calibri"/>
                <w:color w:val="404040" w:themeColor="text1" w:themeTint="BF"/>
                <w:spacing w:val="-2"/>
                <w:sz w:val="16"/>
                <w:szCs w:val="16"/>
              </w:rPr>
              <w:t>– This has been agreed with CBC and IDI and work will commence later in 2023, and</w:t>
            </w:r>
          </w:p>
          <w:p w14:paraId="36BFDB39" w14:textId="19D8A972" w:rsidR="00D047C3" w:rsidRPr="000E5C49" w:rsidRDefault="00875C6E" w:rsidP="000E5C49">
            <w:pPr>
              <w:pStyle w:val="ListParagraph"/>
              <w:numPr>
                <w:ilvl w:val="0"/>
                <w:numId w:val="31"/>
              </w:numPr>
              <w:spacing w:before="240" w:after="120"/>
              <w:rPr>
                <w:rFonts w:ascii="Calibri" w:eastAsia="Calibri" w:hAnsi="Calibri"/>
                <w:color w:val="404040" w:themeColor="text1" w:themeTint="BF"/>
                <w:spacing w:val="-2"/>
                <w:sz w:val="16"/>
                <w:szCs w:val="16"/>
              </w:rPr>
            </w:pPr>
            <w:r>
              <w:rPr>
                <w:rFonts w:ascii="Calibri" w:eastAsia="Calibri" w:hAnsi="Calibri"/>
                <w:b/>
                <w:bCs/>
                <w:color w:val="404040" w:themeColor="text1" w:themeTint="BF"/>
                <w:spacing w:val="-2"/>
                <w:sz w:val="16"/>
                <w:szCs w:val="16"/>
              </w:rPr>
              <w:t xml:space="preserve">Support for IDI’s Centre for SAI Professionals </w:t>
            </w:r>
            <w:r>
              <w:rPr>
                <w:rFonts w:ascii="Calibri" w:eastAsia="Calibri" w:hAnsi="Calibri"/>
                <w:color w:val="404040" w:themeColor="text1" w:themeTint="BF"/>
                <w:spacing w:val="-2"/>
                <w:sz w:val="16"/>
                <w:szCs w:val="16"/>
              </w:rPr>
              <w:t xml:space="preserve">– initial inputs </w:t>
            </w:r>
            <w:r w:rsidR="00544FDE">
              <w:rPr>
                <w:rFonts w:ascii="Calibri" w:eastAsia="Calibri" w:hAnsi="Calibri"/>
                <w:color w:val="404040" w:themeColor="text1" w:themeTint="BF"/>
                <w:spacing w:val="-2"/>
                <w:sz w:val="16"/>
                <w:szCs w:val="16"/>
              </w:rPr>
              <w:t>(focusing on relationships with other PAOs</w:t>
            </w:r>
            <w:r w:rsidR="00FD2B51">
              <w:rPr>
                <w:rFonts w:ascii="Calibri" w:eastAsia="Calibri" w:hAnsi="Calibri"/>
                <w:color w:val="404040" w:themeColor="text1" w:themeTint="BF"/>
                <w:spacing w:val="-2"/>
                <w:sz w:val="16"/>
                <w:szCs w:val="16"/>
              </w:rPr>
              <w:t xml:space="preserve"> and risk management) </w:t>
            </w:r>
            <w:r>
              <w:rPr>
                <w:rFonts w:ascii="Calibri" w:eastAsia="Calibri" w:hAnsi="Calibri"/>
                <w:color w:val="404040" w:themeColor="text1" w:themeTint="BF"/>
                <w:spacing w:val="-2"/>
                <w:sz w:val="16"/>
                <w:szCs w:val="16"/>
              </w:rPr>
              <w:t>have been provided to IDI during work-sessions on IDI’s new strategic plan</w:t>
            </w:r>
            <w:r w:rsidR="00544FDE">
              <w:rPr>
                <w:rFonts w:ascii="Calibri" w:eastAsia="Calibri" w:hAnsi="Calibri"/>
                <w:color w:val="404040" w:themeColor="text1" w:themeTint="BF"/>
                <w:spacing w:val="-2"/>
                <w:sz w:val="16"/>
                <w:szCs w:val="16"/>
              </w:rPr>
              <w:t>. There is also an intention to participate in the IDI’s Professionalisation Symposium to</w:t>
            </w:r>
            <w:r w:rsidR="00FD2B51">
              <w:rPr>
                <w:rFonts w:ascii="Calibri" w:eastAsia="Calibri" w:hAnsi="Calibri"/>
                <w:color w:val="404040" w:themeColor="text1" w:themeTint="BF"/>
                <w:spacing w:val="-2"/>
                <w:sz w:val="16"/>
                <w:szCs w:val="16"/>
              </w:rPr>
              <w:t xml:space="preserve"> further brainstorm this concept. Risk assessment will be confirmed once the IDI strategic plan is finalized (including a final description of what th</w:t>
            </w:r>
            <w:r w:rsidR="0029164E">
              <w:rPr>
                <w:rFonts w:ascii="Calibri" w:eastAsia="Calibri" w:hAnsi="Calibri"/>
                <w:color w:val="404040" w:themeColor="text1" w:themeTint="BF"/>
                <w:spacing w:val="-2"/>
                <w:sz w:val="16"/>
                <w:szCs w:val="16"/>
              </w:rPr>
              <w:t>is centre will focus on).</w:t>
            </w:r>
          </w:p>
        </w:tc>
      </w:tr>
    </w:tbl>
    <w:p w14:paraId="232E2943" w14:textId="77777777" w:rsidR="009F715C" w:rsidRPr="001E767F" w:rsidRDefault="009F715C" w:rsidP="002460F4">
      <w:pPr>
        <w:rPr>
          <w:sz w:val="16"/>
          <w:szCs w:val="16"/>
        </w:rPr>
      </w:pPr>
    </w:p>
    <w:sectPr w:rsidR="009F715C" w:rsidRPr="001E767F" w:rsidSect="002438F6">
      <w:footerReference w:type="default" r:id="rId11"/>
      <w:pgSz w:w="16838" w:h="11906" w:orient="landscape"/>
      <w:pgMar w:top="102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5B76" w14:textId="77777777" w:rsidR="00C62490" w:rsidRDefault="00C62490" w:rsidP="00130036">
      <w:pPr>
        <w:spacing w:after="0" w:line="240" w:lineRule="auto"/>
      </w:pPr>
      <w:r>
        <w:separator/>
      </w:r>
    </w:p>
  </w:endnote>
  <w:endnote w:type="continuationSeparator" w:id="0">
    <w:p w14:paraId="5312022B" w14:textId="77777777" w:rsidR="00C62490" w:rsidRDefault="00C62490" w:rsidP="00130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EF66" w14:textId="77777777" w:rsidR="00A23BA0" w:rsidRDefault="00A23BA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94568" w:rsidRPr="00F9456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4DB5E1F6" w14:textId="77777777" w:rsidR="00A23BA0" w:rsidRDefault="00A23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B5D2D" w14:textId="77777777" w:rsidR="00C62490" w:rsidRDefault="00C62490" w:rsidP="00130036">
      <w:pPr>
        <w:spacing w:after="0" w:line="240" w:lineRule="auto"/>
      </w:pPr>
      <w:r>
        <w:separator/>
      </w:r>
    </w:p>
  </w:footnote>
  <w:footnote w:type="continuationSeparator" w:id="0">
    <w:p w14:paraId="6DEA4556" w14:textId="77777777" w:rsidR="00C62490" w:rsidRDefault="00C62490" w:rsidP="00130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7BEC"/>
    <w:multiLevelType w:val="hybridMultilevel"/>
    <w:tmpl w:val="A3580950"/>
    <w:lvl w:ilvl="0" w:tplc="1C090017">
      <w:start w:val="1"/>
      <w:numFmt w:val="lowerLetter"/>
      <w:lvlText w:val="%1)"/>
      <w:lvlJc w:val="left"/>
      <w:pPr>
        <w:ind w:left="75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abstractNum w:abstractNumId="1" w15:restartNumberingAfterBreak="0">
    <w:nsid w:val="19C67D9D"/>
    <w:multiLevelType w:val="hybridMultilevel"/>
    <w:tmpl w:val="959AA88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A6F5299"/>
    <w:multiLevelType w:val="hybridMultilevel"/>
    <w:tmpl w:val="B6BAAE42"/>
    <w:lvl w:ilvl="0" w:tplc="B7C457F4">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1BA370EC"/>
    <w:multiLevelType w:val="hybridMultilevel"/>
    <w:tmpl w:val="C512D3F4"/>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17F45B4"/>
    <w:multiLevelType w:val="hybridMultilevel"/>
    <w:tmpl w:val="7D9A01C0"/>
    <w:lvl w:ilvl="0" w:tplc="1C09001B">
      <w:start w:val="1"/>
      <w:numFmt w:val="lowerRoman"/>
      <w:lvlText w:val="%1."/>
      <w:lvlJc w:val="right"/>
      <w:pPr>
        <w:ind w:left="612" w:hanging="360"/>
      </w:pPr>
    </w:lvl>
    <w:lvl w:ilvl="1" w:tplc="1C090019" w:tentative="1">
      <w:start w:val="1"/>
      <w:numFmt w:val="lowerLetter"/>
      <w:lvlText w:val="%2."/>
      <w:lvlJc w:val="left"/>
      <w:pPr>
        <w:ind w:left="1332" w:hanging="360"/>
      </w:pPr>
    </w:lvl>
    <w:lvl w:ilvl="2" w:tplc="1C09001B" w:tentative="1">
      <w:start w:val="1"/>
      <w:numFmt w:val="lowerRoman"/>
      <w:lvlText w:val="%3."/>
      <w:lvlJc w:val="right"/>
      <w:pPr>
        <w:ind w:left="2052" w:hanging="180"/>
      </w:pPr>
    </w:lvl>
    <w:lvl w:ilvl="3" w:tplc="1C09000F" w:tentative="1">
      <w:start w:val="1"/>
      <w:numFmt w:val="decimal"/>
      <w:lvlText w:val="%4."/>
      <w:lvlJc w:val="left"/>
      <w:pPr>
        <w:ind w:left="2772" w:hanging="360"/>
      </w:pPr>
    </w:lvl>
    <w:lvl w:ilvl="4" w:tplc="1C090019" w:tentative="1">
      <w:start w:val="1"/>
      <w:numFmt w:val="lowerLetter"/>
      <w:lvlText w:val="%5."/>
      <w:lvlJc w:val="left"/>
      <w:pPr>
        <w:ind w:left="3492" w:hanging="360"/>
      </w:pPr>
    </w:lvl>
    <w:lvl w:ilvl="5" w:tplc="1C09001B" w:tentative="1">
      <w:start w:val="1"/>
      <w:numFmt w:val="lowerRoman"/>
      <w:lvlText w:val="%6."/>
      <w:lvlJc w:val="right"/>
      <w:pPr>
        <w:ind w:left="4212" w:hanging="180"/>
      </w:pPr>
    </w:lvl>
    <w:lvl w:ilvl="6" w:tplc="1C09000F" w:tentative="1">
      <w:start w:val="1"/>
      <w:numFmt w:val="decimal"/>
      <w:lvlText w:val="%7."/>
      <w:lvlJc w:val="left"/>
      <w:pPr>
        <w:ind w:left="4932" w:hanging="360"/>
      </w:pPr>
    </w:lvl>
    <w:lvl w:ilvl="7" w:tplc="1C090019" w:tentative="1">
      <w:start w:val="1"/>
      <w:numFmt w:val="lowerLetter"/>
      <w:lvlText w:val="%8."/>
      <w:lvlJc w:val="left"/>
      <w:pPr>
        <w:ind w:left="5652" w:hanging="360"/>
      </w:pPr>
    </w:lvl>
    <w:lvl w:ilvl="8" w:tplc="1C09001B" w:tentative="1">
      <w:start w:val="1"/>
      <w:numFmt w:val="lowerRoman"/>
      <w:lvlText w:val="%9."/>
      <w:lvlJc w:val="right"/>
      <w:pPr>
        <w:ind w:left="6372" w:hanging="180"/>
      </w:pPr>
    </w:lvl>
  </w:abstractNum>
  <w:abstractNum w:abstractNumId="5" w15:restartNumberingAfterBreak="0">
    <w:nsid w:val="260430A6"/>
    <w:multiLevelType w:val="hybridMultilevel"/>
    <w:tmpl w:val="230E3346"/>
    <w:lvl w:ilvl="0" w:tplc="1C090005">
      <w:start w:val="1"/>
      <w:numFmt w:val="bullet"/>
      <w:lvlText w:val=""/>
      <w:lvlJc w:val="left"/>
      <w:pPr>
        <w:ind w:left="1080" w:hanging="360"/>
      </w:pPr>
      <w:rPr>
        <w:rFonts w:ascii="Wingdings" w:hAnsi="Wingding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09207AD"/>
    <w:multiLevelType w:val="hybridMultilevel"/>
    <w:tmpl w:val="6C709B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29D5D67"/>
    <w:multiLevelType w:val="hybridMultilevel"/>
    <w:tmpl w:val="FC6E92A0"/>
    <w:lvl w:ilvl="0" w:tplc="11180DA4">
      <w:start w:val="1"/>
      <w:numFmt w:val="bullet"/>
      <w:lvlText w:val="ú"/>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33FB5EA2"/>
    <w:multiLevelType w:val="hybridMultilevel"/>
    <w:tmpl w:val="84CC2060"/>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7A72E12"/>
    <w:multiLevelType w:val="hybridMultilevel"/>
    <w:tmpl w:val="AD7E5362"/>
    <w:lvl w:ilvl="0" w:tplc="1C09001B">
      <w:start w:val="1"/>
      <w:numFmt w:val="lowerRoman"/>
      <w:lvlText w:val="%1."/>
      <w:lvlJc w:val="right"/>
      <w:pPr>
        <w:ind w:left="754" w:hanging="720"/>
      </w:pPr>
      <w:rPr>
        <w:rFonts w:hint="default"/>
      </w:rPr>
    </w:lvl>
    <w:lvl w:ilvl="1" w:tplc="1C090019" w:tentative="1">
      <w:start w:val="1"/>
      <w:numFmt w:val="lowerLetter"/>
      <w:lvlText w:val="%2."/>
      <w:lvlJc w:val="left"/>
      <w:pPr>
        <w:ind w:left="1114" w:hanging="360"/>
      </w:pPr>
    </w:lvl>
    <w:lvl w:ilvl="2" w:tplc="1C09001B" w:tentative="1">
      <w:start w:val="1"/>
      <w:numFmt w:val="lowerRoman"/>
      <w:lvlText w:val="%3."/>
      <w:lvlJc w:val="right"/>
      <w:pPr>
        <w:ind w:left="1834" w:hanging="180"/>
      </w:pPr>
    </w:lvl>
    <w:lvl w:ilvl="3" w:tplc="1C09000F" w:tentative="1">
      <w:start w:val="1"/>
      <w:numFmt w:val="decimal"/>
      <w:lvlText w:val="%4."/>
      <w:lvlJc w:val="left"/>
      <w:pPr>
        <w:ind w:left="2554" w:hanging="360"/>
      </w:pPr>
    </w:lvl>
    <w:lvl w:ilvl="4" w:tplc="1C090019" w:tentative="1">
      <w:start w:val="1"/>
      <w:numFmt w:val="lowerLetter"/>
      <w:lvlText w:val="%5."/>
      <w:lvlJc w:val="left"/>
      <w:pPr>
        <w:ind w:left="3274" w:hanging="360"/>
      </w:pPr>
    </w:lvl>
    <w:lvl w:ilvl="5" w:tplc="1C09001B" w:tentative="1">
      <w:start w:val="1"/>
      <w:numFmt w:val="lowerRoman"/>
      <w:lvlText w:val="%6."/>
      <w:lvlJc w:val="right"/>
      <w:pPr>
        <w:ind w:left="3994" w:hanging="180"/>
      </w:pPr>
    </w:lvl>
    <w:lvl w:ilvl="6" w:tplc="1C09000F" w:tentative="1">
      <w:start w:val="1"/>
      <w:numFmt w:val="decimal"/>
      <w:lvlText w:val="%7."/>
      <w:lvlJc w:val="left"/>
      <w:pPr>
        <w:ind w:left="4714" w:hanging="360"/>
      </w:pPr>
    </w:lvl>
    <w:lvl w:ilvl="7" w:tplc="1C090019" w:tentative="1">
      <w:start w:val="1"/>
      <w:numFmt w:val="lowerLetter"/>
      <w:lvlText w:val="%8."/>
      <w:lvlJc w:val="left"/>
      <w:pPr>
        <w:ind w:left="5434" w:hanging="360"/>
      </w:pPr>
    </w:lvl>
    <w:lvl w:ilvl="8" w:tplc="1C09001B" w:tentative="1">
      <w:start w:val="1"/>
      <w:numFmt w:val="lowerRoman"/>
      <w:lvlText w:val="%9."/>
      <w:lvlJc w:val="right"/>
      <w:pPr>
        <w:ind w:left="6154" w:hanging="180"/>
      </w:pPr>
    </w:lvl>
  </w:abstractNum>
  <w:abstractNum w:abstractNumId="10" w15:restartNumberingAfterBreak="0">
    <w:nsid w:val="39053404"/>
    <w:multiLevelType w:val="hybridMultilevel"/>
    <w:tmpl w:val="8AE87C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ABB5184"/>
    <w:multiLevelType w:val="hybridMultilevel"/>
    <w:tmpl w:val="1BAE57B4"/>
    <w:lvl w:ilvl="0" w:tplc="1C090017">
      <w:start w:val="1"/>
      <w:numFmt w:val="lowerLetter"/>
      <w:lvlText w:val="%1)"/>
      <w:lvlJc w:val="left"/>
      <w:pPr>
        <w:ind w:left="720" w:hanging="360"/>
      </w:pPr>
      <w:rPr>
        <w:rFonts w:hint="default"/>
      </w:rPr>
    </w:lvl>
    <w:lvl w:ilvl="1" w:tplc="AAB6BD92">
      <w:start w:val="1"/>
      <w:numFmt w:val="decimal"/>
      <w:lvlText w:val="%2."/>
      <w:lvlJc w:val="left"/>
      <w:pPr>
        <w:ind w:left="1480" w:hanging="40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D661FE5"/>
    <w:multiLevelType w:val="hybridMultilevel"/>
    <w:tmpl w:val="B0542E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E2B4443"/>
    <w:multiLevelType w:val="hybridMultilevel"/>
    <w:tmpl w:val="896C90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30F597E"/>
    <w:multiLevelType w:val="hybridMultilevel"/>
    <w:tmpl w:val="E4DC6DDE"/>
    <w:lvl w:ilvl="0" w:tplc="1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2F7C83"/>
    <w:multiLevelType w:val="hybridMultilevel"/>
    <w:tmpl w:val="820685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BCC21A6"/>
    <w:multiLevelType w:val="hybridMultilevel"/>
    <w:tmpl w:val="8FAC311E"/>
    <w:lvl w:ilvl="0" w:tplc="1C090005">
      <w:start w:val="1"/>
      <w:numFmt w:val="bullet"/>
      <w:lvlText w:val=""/>
      <w:lvlJc w:val="left"/>
      <w:pPr>
        <w:ind w:left="819" w:hanging="360"/>
      </w:pPr>
      <w:rPr>
        <w:rFonts w:ascii="Wingdings" w:hAnsi="Wingdings" w:hint="default"/>
      </w:rPr>
    </w:lvl>
    <w:lvl w:ilvl="1" w:tplc="1C090003" w:tentative="1">
      <w:start w:val="1"/>
      <w:numFmt w:val="bullet"/>
      <w:lvlText w:val="o"/>
      <w:lvlJc w:val="left"/>
      <w:pPr>
        <w:ind w:left="1539" w:hanging="360"/>
      </w:pPr>
      <w:rPr>
        <w:rFonts w:ascii="Courier New" w:hAnsi="Courier New" w:cs="Courier New" w:hint="default"/>
      </w:rPr>
    </w:lvl>
    <w:lvl w:ilvl="2" w:tplc="1C090005" w:tentative="1">
      <w:start w:val="1"/>
      <w:numFmt w:val="bullet"/>
      <w:lvlText w:val=""/>
      <w:lvlJc w:val="left"/>
      <w:pPr>
        <w:ind w:left="2259" w:hanging="360"/>
      </w:pPr>
      <w:rPr>
        <w:rFonts w:ascii="Wingdings" w:hAnsi="Wingdings" w:hint="default"/>
      </w:rPr>
    </w:lvl>
    <w:lvl w:ilvl="3" w:tplc="1C090001" w:tentative="1">
      <w:start w:val="1"/>
      <w:numFmt w:val="bullet"/>
      <w:lvlText w:val=""/>
      <w:lvlJc w:val="left"/>
      <w:pPr>
        <w:ind w:left="2979" w:hanging="360"/>
      </w:pPr>
      <w:rPr>
        <w:rFonts w:ascii="Symbol" w:hAnsi="Symbol" w:hint="default"/>
      </w:rPr>
    </w:lvl>
    <w:lvl w:ilvl="4" w:tplc="1C090003" w:tentative="1">
      <w:start w:val="1"/>
      <w:numFmt w:val="bullet"/>
      <w:lvlText w:val="o"/>
      <w:lvlJc w:val="left"/>
      <w:pPr>
        <w:ind w:left="3699" w:hanging="360"/>
      </w:pPr>
      <w:rPr>
        <w:rFonts w:ascii="Courier New" w:hAnsi="Courier New" w:cs="Courier New" w:hint="default"/>
      </w:rPr>
    </w:lvl>
    <w:lvl w:ilvl="5" w:tplc="1C090005" w:tentative="1">
      <w:start w:val="1"/>
      <w:numFmt w:val="bullet"/>
      <w:lvlText w:val=""/>
      <w:lvlJc w:val="left"/>
      <w:pPr>
        <w:ind w:left="4419" w:hanging="360"/>
      </w:pPr>
      <w:rPr>
        <w:rFonts w:ascii="Wingdings" w:hAnsi="Wingdings" w:hint="default"/>
      </w:rPr>
    </w:lvl>
    <w:lvl w:ilvl="6" w:tplc="1C090001" w:tentative="1">
      <w:start w:val="1"/>
      <w:numFmt w:val="bullet"/>
      <w:lvlText w:val=""/>
      <w:lvlJc w:val="left"/>
      <w:pPr>
        <w:ind w:left="5139" w:hanging="360"/>
      </w:pPr>
      <w:rPr>
        <w:rFonts w:ascii="Symbol" w:hAnsi="Symbol" w:hint="default"/>
      </w:rPr>
    </w:lvl>
    <w:lvl w:ilvl="7" w:tplc="1C090003" w:tentative="1">
      <w:start w:val="1"/>
      <w:numFmt w:val="bullet"/>
      <w:lvlText w:val="o"/>
      <w:lvlJc w:val="left"/>
      <w:pPr>
        <w:ind w:left="5859" w:hanging="360"/>
      </w:pPr>
      <w:rPr>
        <w:rFonts w:ascii="Courier New" w:hAnsi="Courier New" w:cs="Courier New" w:hint="default"/>
      </w:rPr>
    </w:lvl>
    <w:lvl w:ilvl="8" w:tplc="1C090005" w:tentative="1">
      <w:start w:val="1"/>
      <w:numFmt w:val="bullet"/>
      <w:lvlText w:val=""/>
      <w:lvlJc w:val="left"/>
      <w:pPr>
        <w:ind w:left="6579" w:hanging="360"/>
      </w:pPr>
      <w:rPr>
        <w:rFonts w:ascii="Wingdings" w:hAnsi="Wingdings" w:hint="default"/>
      </w:rPr>
    </w:lvl>
  </w:abstractNum>
  <w:abstractNum w:abstractNumId="17" w15:restartNumberingAfterBreak="0">
    <w:nsid w:val="4E90289E"/>
    <w:multiLevelType w:val="hybridMultilevel"/>
    <w:tmpl w:val="7AC0827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4FC27C4C"/>
    <w:multiLevelType w:val="hybridMultilevel"/>
    <w:tmpl w:val="A3C09732"/>
    <w:lvl w:ilvl="0" w:tplc="1C090017">
      <w:start w:val="1"/>
      <w:numFmt w:val="lowerLetter"/>
      <w:lvlText w:val="%1)"/>
      <w:lvlJc w:val="left"/>
      <w:pPr>
        <w:ind w:left="75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abstractNum w:abstractNumId="19" w15:restartNumberingAfterBreak="0">
    <w:nsid w:val="539E2710"/>
    <w:multiLevelType w:val="hybridMultilevel"/>
    <w:tmpl w:val="8346A1D2"/>
    <w:lvl w:ilvl="0" w:tplc="1C090001">
      <w:start w:val="1"/>
      <w:numFmt w:val="bullet"/>
      <w:lvlText w:val=""/>
      <w:lvlJc w:val="left"/>
      <w:pPr>
        <w:ind w:left="462" w:hanging="360"/>
      </w:pPr>
      <w:rPr>
        <w:rFonts w:ascii="Symbol" w:hAnsi="Symbol" w:hint="default"/>
      </w:rPr>
    </w:lvl>
    <w:lvl w:ilvl="1" w:tplc="1C090003" w:tentative="1">
      <w:start w:val="1"/>
      <w:numFmt w:val="bullet"/>
      <w:lvlText w:val="o"/>
      <w:lvlJc w:val="left"/>
      <w:pPr>
        <w:ind w:left="1182" w:hanging="360"/>
      </w:pPr>
      <w:rPr>
        <w:rFonts w:ascii="Courier New" w:hAnsi="Courier New" w:cs="Courier New" w:hint="default"/>
      </w:rPr>
    </w:lvl>
    <w:lvl w:ilvl="2" w:tplc="1C090005" w:tentative="1">
      <w:start w:val="1"/>
      <w:numFmt w:val="bullet"/>
      <w:lvlText w:val=""/>
      <w:lvlJc w:val="left"/>
      <w:pPr>
        <w:ind w:left="1902" w:hanging="360"/>
      </w:pPr>
      <w:rPr>
        <w:rFonts w:ascii="Wingdings" w:hAnsi="Wingdings" w:hint="default"/>
      </w:rPr>
    </w:lvl>
    <w:lvl w:ilvl="3" w:tplc="1C090001" w:tentative="1">
      <w:start w:val="1"/>
      <w:numFmt w:val="bullet"/>
      <w:lvlText w:val=""/>
      <w:lvlJc w:val="left"/>
      <w:pPr>
        <w:ind w:left="2622" w:hanging="360"/>
      </w:pPr>
      <w:rPr>
        <w:rFonts w:ascii="Symbol" w:hAnsi="Symbol" w:hint="default"/>
      </w:rPr>
    </w:lvl>
    <w:lvl w:ilvl="4" w:tplc="1C090003" w:tentative="1">
      <w:start w:val="1"/>
      <w:numFmt w:val="bullet"/>
      <w:lvlText w:val="o"/>
      <w:lvlJc w:val="left"/>
      <w:pPr>
        <w:ind w:left="3342" w:hanging="360"/>
      </w:pPr>
      <w:rPr>
        <w:rFonts w:ascii="Courier New" w:hAnsi="Courier New" w:cs="Courier New" w:hint="default"/>
      </w:rPr>
    </w:lvl>
    <w:lvl w:ilvl="5" w:tplc="1C090005" w:tentative="1">
      <w:start w:val="1"/>
      <w:numFmt w:val="bullet"/>
      <w:lvlText w:val=""/>
      <w:lvlJc w:val="left"/>
      <w:pPr>
        <w:ind w:left="4062" w:hanging="360"/>
      </w:pPr>
      <w:rPr>
        <w:rFonts w:ascii="Wingdings" w:hAnsi="Wingdings" w:hint="default"/>
      </w:rPr>
    </w:lvl>
    <w:lvl w:ilvl="6" w:tplc="1C090001" w:tentative="1">
      <w:start w:val="1"/>
      <w:numFmt w:val="bullet"/>
      <w:lvlText w:val=""/>
      <w:lvlJc w:val="left"/>
      <w:pPr>
        <w:ind w:left="4782" w:hanging="360"/>
      </w:pPr>
      <w:rPr>
        <w:rFonts w:ascii="Symbol" w:hAnsi="Symbol" w:hint="default"/>
      </w:rPr>
    </w:lvl>
    <w:lvl w:ilvl="7" w:tplc="1C090003" w:tentative="1">
      <w:start w:val="1"/>
      <w:numFmt w:val="bullet"/>
      <w:lvlText w:val="o"/>
      <w:lvlJc w:val="left"/>
      <w:pPr>
        <w:ind w:left="5502" w:hanging="360"/>
      </w:pPr>
      <w:rPr>
        <w:rFonts w:ascii="Courier New" w:hAnsi="Courier New" w:cs="Courier New" w:hint="default"/>
      </w:rPr>
    </w:lvl>
    <w:lvl w:ilvl="8" w:tplc="1C090005" w:tentative="1">
      <w:start w:val="1"/>
      <w:numFmt w:val="bullet"/>
      <w:lvlText w:val=""/>
      <w:lvlJc w:val="left"/>
      <w:pPr>
        <w:ind w:left="6222" w:hanging="360"/>
      </w:pPr>
      <w:rPr>
        <w:rFonts w:ascii="Wingdings" w:hAnsi="Wingdings" w:hint="default"/>
      </w:rPr>
    </w:lvl>
  </w:abstractNum>
  <w:abstractNum w:abstractNumId="20" w15:restartNumberingAfterBreak="0">
    <w:nsid w:val="5C020740"/>
    <w:multiLevelType w:val="hybridMultilevel"/>
    <w:tmpl w:val="9500A9DA"/>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E355292"/>
    <w:multiLevelType w:val="hybridMultilevel"/>
    <w:tmpl w:val="1DF2411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622D2048"/>
    <w:multiLevelType w:val="hybridMultilevel"/>
    <w:tmpl w:val="5C8CE62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2F77367"/>
    <w:multiLevelType w:val="hybridMultilevel"/>
    <w:tmpl w:val="954877A0"/>
    <w:lvl w:ilvl="0" w:tplc="1C09001B">
      <w:start w:val="1"/>
      <w:numFmt w:val="lowerRoman"/>
      <w:lvlText w:val="%1."/>
      <w:lvlJc w:val="right"/>
      <w:pPr>
        <w:ind w:left="720" w:hanging="360"/>
      </w:pPr>
      <w:rPr>
        <w:rFonts w:hint="default"/>
      </w:rPr>
    </w:lvl>
    <w:lvl w:ilvl="1" w:tplc="AAB6BD92">
      <w:start w:val="1"/>
      <w:numFmt w:val="decimal"/>
      <w:lvlText w:val="%2."/>
      <w:lvlJc w:val="left"/>
      <w:pPr>
        <w:ind w:left="1480" w:hanging="40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59F5E2C"/>
    <w:multiLevelType w:val="hybridMultilevel"/>
    <w:tmpl w:val="E6329810"/>
    <w:lvl w:ilvl="0" w:tplc="06A41F52">
      <w:start w:val="1"/>
      <w:numFmt w:val="bullet"/>
      <w:lvlText w:val=""/>
      <w:lvlJc w:val="left"/>
      <w:pPr>
        <w:ind w:left="720" w:hanging="360"/>
      </w:pPr>
      <w:rPr>
        <w:rFonts w:ascii="Wingdings" w:eastAsia="Calibri" w:hAnsi="Wingdings"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5" w15:restartNumberingAfterBreak="0">
    <w:nsid w:val="66EC375D"/>
    <w:multiLevelType w:val="hybridMultilevel"/>
    <w:tmpl w:val="C61E14A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B974EE0"/>
    <w:multiLevelType w:val="hybridMultilevel"/>
    <w:tmpl w:val="3B68872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FD63C78"/>
    <w:multiLevelType w:val="hybridMultilevel"/>
    <w:tmpl w:val="30AA37D4"/>
    <w:lvl w:ilvl="0" w:tplc="1C090005">
      <w:start w:val="1"/>
      <w:numFmt w:val="bullet"/>
      <w:lvlText w:val=""/>
      <w:lvlJc w:val="left"/>
      <w:pPr>
        <w:ind w:left="819" w:hanging="360"/>
      </w:pPr>
      <w:rPr>
        <w:rFonts w:ascii="Wingdings" w:hAnsi="Wingdings" w:hint="default"/>
      </w:rPr>
    </w:lvl>
    <w:lvl w:ilvl="1" w:tplc="1C090003" w:tentative="1">
      <w:start w:val="1"/>
      <w:numFmt w:val="bullet"/>
      <w:lvlText w:val="o"/>
      <w:lvlJc w:val="left"/>
      <w:pPr>
        <w:ind w:left="1539" w:hanging="360"/>
      </w:pPr>
      <w:rPr>
        <w:rFonts w:ascii="Courier New" w:hAnsi="Courier New" w:cs="Courier New" w:hint="default"/>
      </w:rPr>
    </w:lvl>
    <w:lvl w:ilvl="2" w:tplc="1C090005" w:tentative="1">
      <w:start w:val="1"/>
      <w:numFmt w:val="bullet"/>
      <w:lvlText w:val=""/>
      <w:lvlJc w:val="left"/>
      <w:pPr>
        <w:ind w:left="2259" w:hanging="360"/>
      </w:pPr>
      <w:rPr>
        <w:rFonts w:ascii="Wingdings" w:hAnsi="Wingdings" w:hint="default"/>
      </w:rPr>
    </w:lvl>
    <w:lvl w:ilvl="3" w:tplc="1C090001" w:tentative="1">
      <w:start w:val="1"/>
      <w:numFmt w:val="bullet"/>
      <w:lvlText w:val=""/>
      <w:lvlJc w:val="left"/>
      <w:pPr>
        <w:ind w:left="2979" w:hanging="360"/>
      </w:pPr>
      <w:rPr>
        <w:rFonts w:ascii="Symbol" w:hAnsi="Symbol" w:hint="default"/>
      </w:rPr>
    </w:lvl>
    <w:lvl w:ilvl="4" w:tplc="1C090003" w:tentative="1">
      <w:start w:val="1"/>
      <w:numFmt w:val="bullet"/>
      <w:lvlText w:val="o"/>
      <w:lvlJc w:val="left"/>
      <w:pPr>
        <w:ind w:left="3699" w:hanging="360"/>
      </w:pPr>
      <w:rPr>
        <w:rFonts w:ascii="Courier New" w:hAnsi="Courier New" w:cs="Courier New" w:hint="default"/>
      </w:rPr>
    </w:lvl>
    <w:lvl w:ilvl="5" w:tplc="1C090005" w:tentative="1">
      <w:start w:val="1"/>
      <w:numFmt w:val="bullet"/>
      <w:lvlText w:val=""/>
      <w:lvlJc w:val="left"/>
      <w:pPr>
        <w:ind w:left="4419" w:hanging="360"/>
      </w:pPr>
      <w:rPr>
        <w:rFonts w:ascii="Wingdings" w:hAnsi="Wingdings" w:hint="default"/>
      </w:rPr>
    </w:lvl>
    <w:lvl w:ilvl="6" w:tplc="1C090001" w:tentative="1">
      <w:start w:val="1"/>
      <w:numFmt w:val="bullet"/>
      <w:lvlText w:val=""/>
      <w:lvlJc w:val="left"/>
      <w:pPr>
        <w:ind w:left="5139" w:hanging="360"/>
      </w:pPr>
      <w:rPr>
        <w:rFonts w:ascii="Symbol" w:hAnsi="Symbol" w:hint="default"/>
      </w:rPr>
    </w:lvl>
    <w:lvl w:ilvl="7" w:tplc="1C090003" w:tentative="1">
      <w:start w:val="1"/>
      <w:numFmt w:val="bullet"/>
      <w:lvlText w:val="o"/>
      <w:lvlJc w:val="left"/>
      <w:pPr>
        <w:ind w:left="5859" w:hanging="360"/>
      </w:pPr>
      <w:rPr>
        <w:rFonts w:ascii="Courier New" w:hAnsi="Courier New" w:cs="Courier New" w:hint="default"/>
      </w:rPr>
    </w:lvl>
    <w:lvl w:ilvl="8" w:tplc="1C090005" w:tentative="1">
      <w:start w:val="1"/>
      <w:numFmt w:val="bullet"/>
      <w:lvlText w:val=""/>
      <w:lvlJc w:val="left"/>
      <w:pPr>
        <w:ind w:left="6579" w:hanging="360"/>
      </w:pPr>
      <w:rPr>
        <w:rFonts w:ascii="Wingdings" w:hAnsi="Wingdings" w:hint="default"/>
      </w:rPr>
    </w:lvl>
  </w:abstractNum>
  <w:abstractNum w:abstractNumId="28" w15:restartNumberingAfterBreak="0">
    <w:nsid w:val="716D2607"/>
    <w:multiLevelType w:val="hybridMultilevel"/>
    <w:tmpl w:val="32A8E4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B135348"/>
    <w:multiLevelType w:val="hybridMultilevel"/>
    <w:tmpl w:val="B72E074C"/>
    <w:lvl w:ilvl="0" w:tplc="1C090017">
      <w:start w:val="1"/>
      <w:numFmt w:val="lowerLetter"/>
      <w:lvlText w:val="%1)"/>
      <w:lvlJc w:val="left"/>
      <w:pPr>
        <w:ind w:left="75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abstractNum w:abstractNumId="30" w15:restartNumberingAfterBreak="0">
    <w:nsid w:val="7BE975E1"/>
    <w:multiLevelType w:val="hybridMultilevel"/>
    <w:tmpl w:val="B72E074C"/>
    <w:lvl w:ilvl="0" w:tplc="1C090017">
      <w:start w:val="1"/>
      <w:numFmt w:val="lowerLetter"/>
      <w:lvlText w:val="%1)"/>
      <w:lvlJc w:val="left"/>
      <w:pPr>
        <w:ind w:left="754" w:hanging="360"/>
      </w:pPr>
    </w:lvl>
    <w:lvl w:ilvl="1" w:tplc="1C090019" w:tentative="1">
      <w:start w:val="1"/>
      <w:numFmt w:val="lowerLetter"/>
      <w:lvlText w:val="%2."/>
      <w:lvlJc w:val="left"/>
      <w:pPr>
        <w:ind w:left="1474" w:hanging="360"/>
      </w:pPr>
    </w:lvl>
    <w:lvl w:ilvl="2" w:tplc="1C09001B" w:tentative="1">
      <w:start w:val="1"/>
      <w:numFmt w:val="lowerRoman"/>
      <w:lvlText w:val="%3."/>
      <w:lvlJc w:val="right"/>
      <w:pPr>
        <w:ind w:left="2194" w:hanging="180"/>
      </w:pPr>
    </w:lvl>
    <w:lvl w:ilvl="3" w:tplc="1C09000F" w:tentative="1">
      <w:start w:val="1"/>
      <w:numFmt w:val="decimal"/>
      <w:lvlText w:val="%4."/>
      <w:lvlJc w:val="left"/>
      <w:pPr>
        <w:ind w:left="2914" w:hanging="360"/>
      </w:pPr>
    </w:lvl>
    <w:lvl w:ilvl="4" w:tplc="1C090019" w:tentative="1">
      <w:start w:val="1"/>
      <w:numFmt w:val="lowerLetter"/>
      <w:lvlText w:val="%5."/>
      <w:lvlJc w:val="left"/>
      <w:pPr>
        <w:ind w:left="3634" w:hanging="360"/>
      </w:pPr>
    </w:lvl>
    <w:lvl w:ilvl="5" w:tplc="1C09001B" w:tentative="1">
      <w:start w:val="1"/>
      <w:numFmt w:val="lowerRoman"/>
      <w:lvlText w:val="%6."/>
      <w:lvlJc w:val="right"/>
      <w:pPr>
        <w:ind w:left="4354" w:hanging="180"/>
      </w:pPr>
    </w:lvl>
    <w:lvl w:ilvl="6" w:tplc="1C09000F" w:tentative="1">
      <w:start w:val="1"/>
      <w:numFmt w:val="decimal"/>
      <w:lvlText w:val="%7."/>
      <w:lvlJc w:val="left"/>
      <w:pPr>
        <w:ind w:left="5074" w:hanging="360"/>
      </w:pPr>
    </w:lvl>
    <w:lvl w:ilvl="7" w:tplc="1C090019" w:tentative="1">
      <w:start w:val="1"/>
      <w:numFmt w:val="lowerLetter"/>
      <w:lvlText w:val="%8."/>
      <w:lvlJc w:val="left"/>
      <w:pPr>
        <w:ind w:left="5794" w:hanging="360"/>
      </w:pPr>
    </w:lvl>
    <w:lvl w:ilvl="8" w:tplc="1C09001B" w:tentative="1">
      <w:start w:val="1"/>
      <w:numFmt w:val="lowerRoman"/>
      <w:lvlText w:val="%9."/>
      <w:lvlJc w:val="right"/>
      <w:pPr>
        <w:ind w:left="6514" w:hanging="180"/>
      </w:pPr>
    </w:lvl>
  </w:abstractNum>
  <w:num w:numId="1" w16cid:durableId="1111583440">
    <w:abstractNumId w:val="3"/>
  </w:num>
  <w:num w:numId="2" w16cid:durableId="429204688">
    <w:abstractNumId w:val="16"/>
  </w:num>
  <w:num w:numId="3" w16cid:durableId="1801413637">
    <w:abstractNumId w:val="28"/>
  </w:num>
  <w:num w:numId="4" w16cid:durableId="1792243285">
    <w:abstractNumId w:val="20"/>
  </w:num>
  <w:num w:numId="5" w16cid:durableId="1995716491">
    <w:abstractNumId w:val="25"/>
  </w:num>
  <w:num w:numId="6" w16cid:durableId="275986195">
    <w:abstractNumId w:val="2"/>
  </w:num>
  <w:num w:numId="7" w16cid:durableId="1702779342">
    <w:abstractNumId w:val="0"/>
  </w:num>
  <w:num w:numId="8" w16cid:durableId="1664121067">
    <w:abstractNumId w:val="30"/>
  </w:num>
  <w:num w:numId="9" w16cid:durableId="1476951178">
    <w:abstractNumId w:val="29"/>
  </w:num>
  <w:num w:numId="10" w16cid:durableId="824781739">
    <w:abstractNumId w:val="23"/>
  </w:num>
  <w:num w:numId="11" w16cid:durableId="730805997">
    <w:abstractNumId w:val="18"/>
  </w:num>
  <w:num w:numId="12" w16cid:durableId="1652173697">
    <w:abstractNumId w:val="1"/>
  </w:num>
  <w:num w:numId="13" w16cid:durableId="1025399922">
    <w:abstractNumId w:val="13"/>
  </w:num>
  <w:num w:numId="14" w16cid:durableId="646280696">
    <w:abstractNumId w:val="9"/>
  </w:num>
  <w:num w:numId="15" w16cid:durableId="420565996">
    <w:abstractNumId w:val="4"/>
  </w:num>
  <w:num w:numId="16" w16cid:durableId="633103670">
    <w:abstractNumId w:val="11"/>
  </w:num>
  <w:num w:numId="17" w16cid:durableId="91752848">
    <w:abstractNumId w:val="26"/>
  </w:num>
  <w:num w:numId="18" w16cid:durableId="1338849041">
    <w:abstractNumId w:val="27"/>
  </w:num>
  <w:num w:numId="19" w16cid:durableId="1489132097">
    <w:abstractNumId w:val="5"/>
  </w:num>
  <w:num w:numId="20" w16cid:durableId="2095514008">
    <w:abstractNumId w:val="8"/>
  </w:num>
  <w:num w:numId="21" w16cid:durableId="1837574999">
    <w:abstractNumId w:val="7"/>
  </w:num>
  <w:num w:numId="22" w16cid:durableId="1808083314">
    <w:abstractNumId w:val="17"/>
  </w:num>
  <w:num w:numId="23" w16cid:durableId="854004179">
    <w:abstractNumId w:val="6"/>
  </w:num>
  <w:num w:numId="24" w16cid:durableId="1013074363">
    <w:abstractNumId w:val="10"/>
  </w:num>
  <w:num w:numId="25" w16cid:durableId="180945615">
    <w:abstractNumId w:val="19"/>
  </w:num>
  <w:num w:numId="26" w16cid:durableId="341708646">
    <w:abstractNumId w:val="12"/>
  </w:num>
  <w:num w:numId="27" w16cid:durableId="1336955511">
    <w:abstractNumId w:val="24"/>
  </w:num>
  <w:num w:numId="28" w16cid:durableId="2246809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813283">
    <w:abstractNumId w:val="14"/>
  </w:num>
  <w:num w:numId="30" w16cid:durableId="1535194710">
    <w:abstractNumId w:val="15"/>
  </w:num>
  <w:num w:numId="31" w16cid:durableId="1739281379">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1D"/>
    <w:rsid w:val="0000510F"/>
    <w:rsid w:val="00006A45"/>
    <w:rsid w:val="00006C69"/>
    <w:rsid w:val="00015BFC"/>
    <w:rsid w:val="0003491F"/>
    <w:rsid w:val="000506EB"/>
    <w:rsid w:val="00054507"/>
    <w:rsid w:val="000627A8"/>
    <w:rsid w:val="000808AF"/>
    <w:rsid w:val="000A0CF7"/>
    <w:rsid w:val="000B44D6"/>
    <w:rsid w:val="000B6310"/>
    <w:rsid w:val="000C551C"/>
    <w:rsid w:val="000C580B"/>
    <w:rsid w:val="000E0F6E"/>
    <w:rsid w:val="000E5C49"/>
    <w:rsid w:val="000F3A02"/>
    <w:rsid w:val="000F7B2B"/>
    <w:rsid w:val="0012276E"/>
    <w:rsid w:val="001246DB"/>
    <w:rsid w:val="00130036"/>
    <w:rsid w:val="00145F98"/>
    <w:rsid w:val="00146A0C"/>
    <w:rsid w:val="0015101D"/>
    <w:rsid w:val="001540D8"/>
    <w:rsid w:val="00157374"/>
    <w:rsid w:val="0015765F"/>
    <w:rsid w:val="001600EE"/>
    <w:rsid w:val="001640F3"/>
    <w:rsid w:val="00164BCE"/>
    <w:rsid w:val="00185E9E"/>
    <w:rsid w:val="001A43F7"/>
    <w:rsid w:val="001A5B92"/>
    <w:rsid w:val="001B0AF0"/>
    <w:rsid w:val="001C0ECE"/>
    <w:rsid w:val="001C4A52"/>
    <w:rsid w:val="001E35C3"/>
    <w:rsid w:val="001E656E"/>
    <w:rsid w:val="001E767F"/>
    <w:rsid w:val="001F41FA"/>
    <w:rsid w:val="002018C7"/>
    <w:rsid w:val="00203986"/>
    <w:rsid w:val="00213275"/>
    <w:rsid w:val="002328CF"/>
    <w:rsid w:val="002338EA"/>
    <w:rsid w:val="00241BF6"/>
    <w:rsid w:val="00241E2A"/>
    <w:rsid w:val="002422DD"/>
    <w:rsid w:val="002438F6"/>
    <w:rsid w:val="002460F4"/>
    <w:rsid w:val="002476A0"/>
    <w:rsid w:val="00271368"/>
    <w:rsid w:val="0027684B"/>
    <w:rsid w:val="002818DC"/>
    <w:rsid w:val="00286F0D"/>
    <w:rsid w:val="0029164E"/>
    <w:rsid w:val="002A54F1"/>
    <w:rsid w:val="002B1B91"/>
    <w:rsid w:val="002C3642"/>
    <w:rsid w:val="002E22F9"/>
    <w:rsid w:val="002E30A6"/>
    <w:rsid w:val="002F3C1D"/>
    <w:rsid w:val="00324F71"/>
    <w:rsid w:val="003347DC"/>
    <w:rsid w:val="00335E13"/>
    <w:rsid w:val="003445F8"/>
    <w:rsid w:val="0035208A"/>
    <w:rsid w:val="003658CB"/>
    <w:rsid w:val="003841E6"/>
    <w:rsid w:val="003855A8"/>
    <w:rsid w:val="0039639B"/>
    <w:rsid w:val="00396FB5"/>
    <w:rsid w:val="003A146B"/>
    <w:rsid w:val="003C0ADB"/>
    <w:rsid w:val="003D2C4D"/>
    <w:rsid w:val="003E1760"/>
    <w:rsid w:val="003F1F75"/>
    <w:rsid w:val="00404F15"/>
    <w:rsid w:val="004130AF"/>
    <w:rsid w:val="00413B6C"/>
    <w:rsid w:val="00417BD9"/>
    <w:rsid w:val="00420042"/>
    <w:rsid w:val="00421888"/>
    <w:rsid w:val="00427EBE"/>
    <w:rsid w:val="0043619B"/>
    <w:rsid w:val="00437129"/>
    <w:rsid w:val="00437483"/>
    <w:rsid w:val="00437AA8"/>
    <w:rsid w:val="004410EE"/>
    <w:rsid w:val="00445198"/>
    <w:rsid w:val="00447443"/>
    <w:rsid w:val="00450604"/>
    <w:rsid w:val="00460159"/>
    <w:rsid w:val="004609E4"/>
    <w:rsid w:val="0046164A"/>
    <w:rsid w:val="00464209"/>
    <w:rsid w:val="00487E80"/>
    <w:rsid w:val="004B67E0"/>
    <w:rsid w:val="004D4F14"/>
    <w:rsid w:val="004E39EA"/>
    <w:rsid w:val="004F162D"/>
    <w:rsid w:val="00513119"/>
    <w:rsid w:val="00513933"/>
    <w:rsid w:val="00516A57"/>
    <w:rsid w:val="00526D82"/>
    <w:rsid w:val="00532F86"/>
    <w:rsid w:val="00544FDE"/>
    <w:rsid w:val="00550565"/>
    <w:rsid w:val="005613FC"/>
    <w:rsid w:val="00562D74"/>
    <w:rsid w:val="00570B9D"/>
    <w:rsid w:val="005B01C0"/>
    <w:rsid w:val="005C33D9"/>
    <w:rsid w:val="005C692F"/>
    <w:rsid w:val="005D2BD6"/>
    <w:rsid w:val="005D31D2"/>
    <w:rsid w:val="005D3D0B"/>
    <w:rsid w:val="005D4C7A"/>
    <w:rsid w:val="005E098B"/>
    <w:rsid w:val="005E67DA"/>
    <w:rsid w:val="006005D9"/>
    <w:rsid w:val="00611CA5"/>
    <w:rsid w:val="00614E84"/>
    <w:rsid w:val="0062596F"/>
    <w:rsid w:val="00633EBD"/>
    <w:rsid w:val="006343ED"/>
    <w:rsid w:val="0065703E"/>
    <w:rsid w:val="00657428"/>
    <w:rsid w:val="00661595"/>
    <w:rsid w:val="0066664A"/>
    <w:rsid w:val="00673467"/>
    <w:rsid w:val="00680BB7"/>
    <w:rsid w:val="0069763F"/>
    <w:rsid w:val="006A2A0C"/>
    <w:rsid w:val="006A58CD"/>
    <w:rsid w:val="006B1C57"/>
    <w:rsid w:val="006B2AE0"/>
    <w:rsid w:val="006B394D"/>
    <w:rsid w:val="006D2C18"/>
    <w:rsid w:val="006D331D"/>
    <w:rsid w:val="006D70F9"/>
    <w:rsid w:val="006E0FD1"/>
    <w:rsid w:val="006E7AB5"/>
    <w:rsid w:val="006F7CE1"/>
    <w:rsid w:val="0070462C"/>
    <w:rsid w:val="00720220"/>
    <w:rsid w:val="00720ACB"/>
    <w:rsid w:val="00721E19"/>
    <w:rsid w:val="007257D0"/>
    <w:rsid w:val="00731455"/>
    <w:rsid w:val="007431F8"/>
    <w:rsid w:val="00744E7F"/>
    <w:rsid w:val="00745BEC"/>
    <w:rsid w:val="00761E59"/>
    <w:rsid w:val="00777968"/>
    <w:rsid w:val="00793D67"/>
    <w:rsid w:val="007A2148"/>
    <w:rsid w:val="007B3519"/>
    <w:rsid w:val="007B5200"/>
    <w:rsid w:val="007C43D2"/>
    <w:rsid w:val="007C5ECB"/>
    <w:rsid w:val="007C67E1"/>
    <w:rsid w:val="007D0B2B"/>
    <w:rsid w:val="007F044E"/>
    <w:rsid w:val="007F5DC8"/>
    <w:rsid w:val="00806E24"/>
    <w:rsid w:val="0081153C"/>
    <w:rsid w:val="0082337B"/>
    <w:rsid w:val="00831F54"/>
    <w:rsid w:val="00843F3E"/>
    <w:rsid w:val="00846762"/>
    <w:rsid w:val="00846F69"/>
    <w:rsid w:val="00850291"/>
    <w:rsid w:val="00850A3D"/>
    <w:rsid w:val="00857484"/>
    <w:rsid w:val="008645F1"/>
    <w:rsid w:val="00866120"/>
    <w:rsid w:val="00875C6E"/>
    <w:rsid w:val="008762AA"/>
    <w:rsid w:val="008829AA"/>
    <w:rsid w:val="00886814"/>
    <w:rsid w:val="00890D3B"/>
    <w:rsid w:val="008927A0"/>
    <w:rsid w:val="008979A3"/>
    <w:rsid w:val="008C4CCA"/>
    <w:rsid w:val="008C77CB"/>
    <w:rsid w:val="008E4870"/>
    <w:rsid w:val="008E64F7"/>
    <w:rsid w:val="008E7ADE"/>
    <w:rsid w:val="008F3FE3"/>
    <w:rsid w:val="009006DD"/>
    <w:rsid w:val="00907E77"/>
    <w:rsid w:val="00920E7D"/>
    <w:rsid w:val="009320F7"/>
    <w:rsid w:val="009600C4"/>
    <w:rsid w:val="00961E19"/>
    <w:rsid w:val="00973AB1"/>
    <w:rsid w:val="00984643"/>
    <w:rsid w:val="009952C7"/>
    <w:rsid w:val="009A189F"/>
    <w:rsid w:val="009B4117"/>
    <w:rsid w:val="009C0BC2"/>
    <w:rsid w:val="009D0C31"/>
    <w:rsid w:val="009D7C57"/>
    <w:rsid w:val="009F0EB8"/>
    <w:rsid w:val="009F3BE5"/>
    <w:rsid w:val="009F715C"/>
    <w:rsid w:val="00A1040E"/>
    <w:rsid w:val="00A22E2A"/>
    <w:rsid w:val="00A23BA0"/>
    <w:rsid w:val="00A31C3A"/>
    <w:rsid w:val="00A42943"/>
    <w:rsid w:val="00A44238"/>
    <w:rsid w:val="00A54131"/>
    <w:rsid w:val="00A64497"/>
    <w:rsid w:val="00A82795"/>
    <w:rsid w:val="00A84411"/>
    <w:rsid w:val="00A84D18"/>
    <w:rsid w:val="00AB24B0"/>
    <w:rsid w:val="00AB26CD"/>
    <w:rsid w:val="00AC2340"/>
    <w:rsid w:val="00AC2C18"/>
    <w:rsid w:val="00AC2DEE"/>
    <w:rsid w:val="00AE17DA"/>
    <w:rsid w:val="00AF42A4"/>
    <w:rsid w:val="00AF4E0D"/>
    <w:rsid w:val="00B15021"/>
    <w:rsid w:val="00B163B9"/>
    <w:rsid w:val="00B16A2D"/>
    <w:rsid w:val="00B2408A"/>
    <w:rsid w:val="00B24528"/>
    <w:rsid w:val="00B3194B"/>
    <w:rsid w:val="00B36A79"/>
    <w:rsid w:val="00B40D3C"/>
    <w:rsid w:val="00B452D5"/>
    <w:rsid w:val="00B5787E"/>
    <w:rsid w:val="00B64703"/>
    <w:rsid w:val="00B65BB9"/>
    <w:rsid w:val="00B736AC"/>
    <w:rsid w:val="00B80630"/>
    <w:rsid w:val="00B81CEE"/>
    <w:rsid w:val="00B91563"/>
    <w:rsid w:val="00BC043B"/>
    <w:rsid w:val="00BC7FA1"/>
    <w:rsid w:val="00BD3EAA"/>
    <w:rsid w:val="00BE5FF2"/>
    <w:rsid w:val="00BF608A"/>
    <w:rsid w:val="00C145D7"/>
    <w:rsid w:val="00C20721"/>
    <w:rsid w:val="00C2129B"/>
    <w:rsid w:val="00C25129"/>
    <w:rsid w:val="00C2777D"/>
    <w:rsid w:val="00C54095"/>
    <w:rsid w:val="00C5619C"/>
    <w:rsid w:val="00C5790B"/>
    <w:rsid w:val="00C62490"/>
    <w:rsid w:val="00C63B23"/>
    <w:rsid w:val="00C71BFD"/>
    <w:rsid w:val="00C75142"/>
    <w:rsid w:val="00C91D9E"/>
    <w:rsid w:val="00CC2612"/>
    <w:rsid w:val="00CC5D94"/>
    <w:rsid w:val="00CD4A96"/>
    <w:rsid w:val="00CF079C"/>
    <w:rsid w:val="00CF3EC5"/>
    <w:rsid w:val="00CF6282"/>
    <w:rsid w:val="00D047C3"/>
    <w:rsid w:val="00D06AFA"/>
    <w:rsid w:val="00D104B3"/>
    <w:rsid w:val="00D10E39"/>
    <w:rsid w:val="00D11F67"/>
    <w:rsid w:val="00D13372"/>
    <w:rsid w:val="00D44D5B"/>
    <w:rsid w:val="00D5164A"/>
    <w:rsid w:val="00D51A93"/>
    <w:rsid w:val="00D5343C"/>
    <w:rsid w:val="00D90746"/>
    <w:rsid w:val="00D91573"/>
    <w:rsid w:val="00D91B26"/>
    <w:rsid w:val="00D9517F"/>
    <w:rsid w:val="00DA5BFB"/>
    <w:rsid w:val="00DB41F7"/>
    <w:rsid w:val="00DB600D"/>
    <w:rsid w:val="00DC72D5"/>
    <w:rsid w:val="00DC7843"/>
    <w:rsid w:val="00DD62A6"/>
    <w:rsid w:val="00DF075B"/>
    <w:rsid w:val="00DF4B6D"/>
    <w:rsid w:val="00DF60D3"/>
    <w:rsid w:val="00E0200F"/>
    <w:rsid w:val="00E020C8"/>
    <w:rsid w:val="00E16278"/>
    <w:rsid w:val="00E164A4"/>
    <w:rsid w:val="00E22ACA"/>
    <w:rsid w:val="00E2789C"/>
    <w:rsid w:val="00E3156D"/>
    <w:rsid w:val="00E41402"/>
    <w:rsid w:val="00E420B7"/>
    <w:rsid w:val="00E52B2F"/>
    <w:rsid w:val="00E6468E"/>
    <w:rsid w:val="00E67416"/>
    <w:rsid w:val="00E736D7"/>
    <w:rsid w:val="00E75D87"/>
    <w:rsid w:val="00E767E6"/>
    <w:rsid w:val="00EA37AA"/>
    <w:rsid w:val="00EA49F6"/>
    <w:rsid w:val="00EA780B"/>
    <w:rsid w:val="00EB6518"/>
    <w:rsid w:val="00EC0D4A"/>
    <w:rsid w:val="00EC29C2"/>
    <w:rsid w:val="00EE412D"/>
    <w:rsid w:val="00EF4778"/>
    <w:rsid w:val="00EF67BD"/>
    <w:rsid w:val="00F27931"/>
    <w:rsid w:val="00F35FE5"/>
    <w:rsid w:val="00F46C34"/>
    <w:rsid w:val="00F477F0"/>
    <w:rsid w:val="00F539EC"/>
    <w:rsid w:val="00F57C27"/>
    <w:rsid w:val="00F71C76"/>
    <w:rsid w:val="00F750C9"/>
    <w:rsid w:val="00F94568"/>
    <w:rsid w:val="00F973EF"/>
    <w:rsid w:val="00FA0B40"/>
    <w:rsid w:val="00FA13DA"/>
    <w:rsid w:val="00FA1C30"/>
    <w:rsid w:val="00FD12ED"/>
    <w:rsid w:val="00FD2B51"/>
    <w:rsid w:val="00FD32E4"/>
    <w:rsid w:val="00FD485B"/>
    <w:rsid w:val="00FD5A6E"/>
    <w:rsid w:val="00FE1DE2"/>
    <w:rsid w:val="00FE5584"/>
    <w:rsid w:val="00FE5EDE"/>
    <w:rsid w:val="00FE6D14"/>
    <w:rsid w:val="00FF5E3A"/>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A72C"/>
  <w15:docId w15:val="{787935B1-10E7-4841-9D88-1474A987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331D"/>
    <w:pPr>
      <w:spacing w:after="0" w:line="260" w:lineRule="atLeas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31D"/>
    <w:pPr>
      <w:ind w:left="720"/>
      <w:contextualSpacing/>
    </w:pPr>
  </w:style>
  <w:style w:type="paragraph" w:styleId="Header">
    <w:name w:val="header"/>
    <w:basedOn w:val="Normal"/>
    <w:link w:val="HeaderChar"/>
    <w:uiPriority w:val="99"/>
    <w:unhideWhenUsed/>
    <w:rsid w:val="00130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036"/>
  </w:style>
  <w:style w:type="paragraph" w:styleId="Footer">
    <w:name w:val="footer"/>
    <w:basedOn w:val="Normal"/>
    <w:link w:val="FooterChar"/>
    <w:uiPriority w:val="99"/>
    <w:unhideWhenUsed/>
    <w:rsid w:val="00130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036"/>
  </w:style>
  <w:style w:type="paragraph" w:styleId="FootnoteText">
    <w:name w:val="footnote text"/>
    <w:basedOn w:val="Normal"/>
    <w:link w:val="FootnoteTextChar"/>
    <w:uiPriority w:val="99"/>
    <w:semiHidden/>
    <w:unhideWhenUsed/>
    <w:rsid w:val="00634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43ED"/>
    <w:rPr>
      <w:sz w:val="20"/>
      <w:szCs w:val="20"/>
    </w:rPr>
  </w:style>
  <w:style w:type="character" w:styleId="FootnoteReference">
    <w:name w:val="footnote reference"/>
    <w:basedOn w:val="DefaultParagraphFont"/>
    <w:uiPriority w:val="99"/>
    <w:semiHidden/>
    <w:unhideWhenUsed/>
    <w:rsid w:val="006343ED"/>
    <w:rPr>
      <w:vertAlign w:val="superscript"/>
    </w:rPr>
  </w:style>
  <w:style w:type="paragraph" w:styleId="BalloonText">
    <w:name w:val="Balloon Text"/>
    <w:basedOn w:val="Normal"/>
    <w:link w:val="BalloonTextChar"/>
    <w:uiPriority w:val="99"/>
    <w:semiHidden/>
    <w:unhideWhenUsed/>
    <w:rsid w:val="004B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E0"/>
    <w:rPr>
      <w:rFonts w:ascii="Tahoma" w:hAnsi="Tahoma" w:cs="Tahoma"/>
      <w:sz w:val="16"/>
      <w:szCs w:val="16"/>
    </w:rPr>
  </w:style>
  <w:style w:type="paragraph" w:customStyle="1" w:styleId="Default">
    <w:name w:val="Default"/>
    <w:rsid w:val="003F1F7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927A0"/>
    <w:rPr>
      <w:sz w:val="16"/>
      <w:szCs w:val="16"/>
    </w:rPr>
  </w:style>
  <w:style w:type="paragraph" w:styleId="CommentText">
    <w:name w:val="annotation text"/>
    <w:basedOn w:val="Normal"/>
    <w:link w:val="CommentTextChar"/>
    <w:uiPriority w:val="99"/>
    <w:semiHidden/>
    <w:unhideWhenUsed/>
    <w:rsid w:val="008927A0"/>
    <w:pPr>
      <w:spacing w:line="240" w:lineRule="auto"/>
    </w:pPr>
    <w:rPr>
      <w:sz w:val="20"/>
      <w:szCs w:val="20"/>
    </w:rPr>
  </w:style>
  <w:style w:type="character" w:customStyle="1" w:styleId="CommentTextChar">
    <w:name w:val="Comment Text Char"/>
    <w:basedOn w:val="DefaultParagraphFont"/>
    <w:link w:val="CommentText"/>
    <w:uiPriority w:val="99"/>
    <w:semiHidden/>
    <w:rsid w:val="008927A0"/>
    <w:rPr>
      <w:sz w:val="20"/>
      <w:szCs w:val="20"/>
    </w:rPr>
  </w:style>
  <w:style w:type="paragraph" w:styleId="CommentSubject">
    <w:name w:val="annotation subject"/>
    <w:basedOn w:val="CommentText"/>
    <w:next w:val="CommentText"/>
    <w:link w:val="CommentSubjectChar"/>
    <w:uiPriority w:val="99"/>
    <w:semiHidden/>
    <w:unhideWhenUsed/>
    <w:rsid w:val="008927A0"/>
    <w:rPr>
      <w:b/>
      <w:bCs/>
    </w:rPr>
  </w:style>
  <w:style w:type="character" w:customStyle="1" w:styleId="CommentSubjectChar">
    <w:name w:val="Comment Subject Char"/>
    <w:basedOn w:val="CommentTextChar"/>
    <w:link w:val="CommentSubject"/>
    <w:uiPriority w:val="99"/>
    <w:semiHidden/>
    <w:rsid w:val="008927A0"/>
    <w:rPr>
      <w:b/>
      <w:bCs/>
      <w:sz w:val="20"/>
      <w:szCs w:val="20"/>
    </w:rPr>
  </w:style>
  <w:style w:type="paragraph" w:styleId="Revision">
    <w:name w:val="Revision"/>
    <w:hidden/>
    <w:uiPriority w:val="99"/>
    <w:semiHidden/>
    <w:rsid w:val="00F35F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152200">
      <w:bodyDiv w:val="1"/>
      <w:marLeft w:val="0"/>
      <w:marRight w:val="0"/>
      <w:marTop w:val="0"/>
      <w:marBottom w:val="0"/>
      <w:divBdr>
        <w:top w:val="none" w:sz="0" w:space="0" w:color="auto"/>
        <w:left w:val="none" w:sz="0" w:space="0" w:color="auto"/>
        <w:bottom w:val="none" w:sz="0" w:space="0" w:color="auto"/>
        <w:right w:val="none" w:sz="0" w:space="0" w:color="auto"/>
      </w:divBdr>
    </w:div>
    <w:div w:id="901135993">
      <w:bodyDiv w:val="1"/>
      <w:marLeft w:val="0"/>
      <w:marRight w:val="0"/>
      <w:marTop w:val="0"/>
      <w:marBottom w:val="0"/>
      <w:divBdr>
        <w:top w:val="none" w:sz="0" w:space="0" w:color="auto"/>
        <w:left w:val="none" w:sz="0" w:space="0" w:color="auto"/>
        <w:bottom w:val="none" w:sz="0" w:space="0" w:color="auto"/>
        <w:right w:val="none" w:sz="0" w:space="0" w:color="auto"/>
      </w:divBdr>
    </w:div>
    <w:div w:id="20688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ACBF8D8E106F4E87ABF5B72BD35681" ma:contentTypeVersion="16" ma:contentTypeDescription="Create a new document." ma:contentTypeScope="" ma:versionID="58e65171fd20020dc5ab69ab50cf1d91">
  <xsd:schema xmlns:xsd="http://www.w3.org/2001/XMLSchema" xmlns:xs="http://www.w3.org/2001/XMLSchema" xmlns:p="http://schemas.microsoft.com/office/2006/metadata/properties" xmlns:ns1="http://schemas.microsoft.com/sharepoint/v3" xmlns:ns3="6f115ece-0ade-4e1e-8d12-ac2396b52811" xmlns:ns4="d9a81ee3-ad33-4fbb-a034-e9d9300aefe1" targetNamespace="http://schemas.microsoft.com/office/2006/metadata/properties" ma:root="true" ma:fieldsID="8d5eae29e12dd15d74a7cdce7fd7f624" ns1:_="" ns3:_="" ns4:_="">
    <xsd:import namespace="http://schemas.microsoft.com/sharepoint/v3"/>
    <xsd:import namespace="6f115ece-0ade-4e1e-8d12-ac2396b52811"/>
    <xsd:import namespace="d9a81ee3-ad33-4fbb-a034-e9d9300aef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15ece-0ade-4e1e-8d12-ac2396b52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81ee3-ad33-4fbb-a034-e9d9300aef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03B8E-BBBA-42B9-9D09-AD907EB29460}">
  <ds:schemaRefs>
    <ds:schemaRef ds:uri="http://schemas.microsoft.com/sharepoint/v3/contenttype/forms"/>
  </ds:schemaRefs>
</ds:datastoreItem>
</file>

<file path=customXml/itemProps2.xml><?xml version="1.0" encoding="utf-8"?>
<ds:datastoreItem xmlns:ds="http://schemas.openxmlformats.org/officeDocument/2006/customXml" ds:itemID="{49946437-CF03-45D4-A820-EC69BD55769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64539C3-ED6E-4F3E-80A7-41ED98C25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115ece-0ade-4e1e-8d12-ac2396b52811"/>
    <ds:schemaRef ds:uri="d9a81ee3-ad33-4fbb-a034-e9d9300ae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643C3-BC8C-4C32-B004-5292A733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956</Words>
  <Characters>5454</Characters>
  <Application>Microsoft Office Word</Application>
  <DocSecurity>0</DocSecurity>
  <Lines>45</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Auditor-General</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Cobus Botes</dc:creator>
  <cp:lastModifiedBy>Jan Van Schalkwyk (CE)</cp:lastModifiedBy>
  <cp:revision>71</cp:revision>
  <cp:lastPrinted>2017-08-27T19:33:00Z</cp:lastPrinted>
  <dcterms:created xsi:type="dcterms:W3CDTF">2023-05-04T10:49:00Z</dcterms:created>
  <dcterms:modified xsi:type="dcterms:W3CDTF">2023-05-26T14:25:00Z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0x010100FDACBF8D8E106F4E87ABF5B72BD35681</vt:lpwstr>
  </property>
</Properties>
</file>