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PlainTable3"/>
        <w:tblW w:w="7713" w:type="dxa"/>
        <w:tblCellMar>
          <w:left w:w="0" w:type="dxa"/>
          <w:right w:w="0" w:type="dxa"/>
        </w:tblCellMar>
        <w:tblLook w:val="0600" w:firstRow="0" w:lastRow="0" w:firstColumn="0" w:lastColumn="0" w:noHBand="1" w:noVBand="1"/>
      </w:tblPr>
      <w:tblGrid>
        <w:gridCol w:w="5781"/>
        <w:gridCol w:w="1932"/>
      </w:tblGrid>
      <w:tr w:rsidR="009A2BE3" w14:paraId="658238A8" w14:textId="77777777" w:rsidTr="009A2BE3">
        <w:trPr>
          <w:trHeight w:val="850"/>
        </w:trPr>
        <w:tc>
          <w:tcPr>
            <w:tcW w:w="5781" w:type="dxa"/>
            <w:tcMar>
              <w:top w:w="0" w:type="dxa"/>
              <w:left w:w="4961" w:type="dxa"/>
              <w:bottom w:w="284" w:type="dxa"/>
              <w:right w:w="0" w:type="dxa"/>
            </w:tcMar>
          </w:tcPr>
          <w:p w14:paraId="02883F0A" w14:textId="05131971" w:rsidR="009A2BE3" w:rsidRPr="009A2BE3" w:rsidRDefault="009A2BE3" w:rsidP="00B76CBE">
            <w:pPr>
              <w:rPr>
                <w:i/>
                <w:noProof/>
                <w:sz w:val="18"/>
              </w:rPr>
            </w:pPr>
          </w:p>
        </w:tc>
        <w:tc>
          <w:tcPr>
            <w:tcW w:w="1932" w:type="dxa"/>
          </w:tcPr>
          <w:p w14:paraId="1F67A06D" w14:textId="77777777" w:rsidR="009A2BE3" w:rsidRPr="009A2BE3" w:rsidRDefault="009A2BE3" w:rsidP="006248EB">
            <w:pPr>
              <w:rPr>
                <w:noProof/>
                <w:sz w:val="18"/>
              </w:rPr>
            </w:pPr>
          </w:p>
        </w:tc>
      </w:tr>
    </w:tbl>
    <w:p w14:paraId="343B2518" w14:textId="77777777" w:rsidR="00E60799" w:rsidRPr="00E60799" w:rsidRDefault="00E60799" w:rsidP="00E60799">
      <w:pPr>
        <w:pStyle w:val="Heading1"/>
        <w:spacing w:after="360"/>
        <w:rPr>
          <w:sz w:val="36"/>
          <w:szCs w:val="36"/>
          <w:lang w:val="en-ZA"/>
        </w:rPr>
      </w:pPr>
      <w:r w:rsidRPr="0063729C">
        <w:rPr>
          <w:sz w:val="36"/>
          <w:szCs w:val="36"/>
          <w:lang w:val="en-ZA"/>
        </w:rPr>
        <w:t xml:space="preserve">Terms of </w:t>
      </w:r>
      <w:r w:rsidRPr="0063729C">
        <w:rPr>
          <w:sz w:val="36"/>
          <w:szCs w:val="36"/>
        </w:rPr>
        <w:t>Reference – INTOSAI CBC Task Force on INTOSAI Auditor Professionalisation</w:t>
      </w:r>
      <w:r w:rsidRPr="00E60799">
        <w:rPr>
          <w:sz w:val="36"/>
          <w:szCs w:val="36"/>
          <w:lang w:val="en-ZA"/>
        </w:rPr>
        <w:t xml:space="preserve"> </w:t>
      </w:r>
    </w:p>
    <w:p w14:paraId="6E790B25" w14:textId="77777777" w:rsidR="00426732" w:rsidRDefault="00426732" w:rsidP="003A6F4B">
      <w:pPr>
        <w:pStyle w:val="Heading3"/>
        <w:rPr>
          <w:lang w:val="en-US"/>
        </w:rPr>
      </w:pPr>
      <w:r>
        <w:rPr>
          <w:lang w:val="en-US"/>
        </w:rPr>
        <w:t>Introduction</w:t>
      </w:r>
    </w:p>
    <w:p w14:paraId="34AD78F6" w14:textId="779430F0" w:rsidR="00426732" w:rsidRDefault="00426732" w:rsidP="00865CC9">
      <w:pPr>
        <w:spacing w:after="240"/>
        <w:rPr>
          <w:lang w:val="en-US"/>
        </w:rPr>
      </w:pPr>
      <w:r>
        <w:rPr>
          <w:lang w:val="en-US"/>
        </w:rPr>
        <w:t xml:space="preserve">The INTOSAI Capacity Building Committee (CBC) is one of INTOSAI’s four main committees and </w:t>
      </w:r>
      <w:r w:rsidR="00F0777C">
        <w:rPr>
          <w:lang w:val="en-US"/>
        </w:rPr>
        <w:t xml:space="preserve">is responsible for </w:t>
      </w:r>
      <w:r>
        <w:rPr>
          <w:lang w:val="en-US"/>
        </w:rPr>
        <w:t>INTOSAI’s Strategic Goal 2</w:t>
      </w:r>
      <w:r w:rsidR="00030B18">
        <w:rPr>
          <w:lang w:val="en-US"/>
        </w:rPr>
        <w:t>: S</w:t>
      </w:r>
      <w:r>
        <w:rPr>
          <w:lang w:val="en-US"/>
        </w:rPr>
        <w:t xml:space="preserve">upporting SAIs in developing their </w:t>
      </w:r>
      <w:r w:rsidR="00795E65">
        <w:rPr>
          <w:lang w:val="en-US"/>
        </w:rPr>
        <w:t>capacity.</w:t>
      </w:r>
    </w:p>
    <w:p w14:paraId="7E064C35" w14:textId="637F7DC3" w:rsidR="00545630" w:rsidRPr="00426732" w:rsidRDefault="00545630" w:rsidP="00545630">
      <w:r>
        <w:rPr>
          <w:lang w:val="en-US"/>
        </w:rPr>
        <w:t xml:space="preserve">The CBC is led by a </w:t>
      </w:r>
      <w:r w:rsidR="00DD05CE">
        <w:rPr>
          <w:lang w:val="en-US"/>
        </w:rPr>
        <w:t xml:space="preserve">chair </w:t>
      </w:r>
      <w:r>
        <w:rPr>
          <w:lang w:val="en-US"/>
        </w:rPr>
        <w:t xml:space="preserve">who </w:t>
      </w:r>
      <w:r w:rsidR="00030B18">
        <w:rPr>
          <w:lang w:val="en-US"/>
        </w:rPr>
        <w:t>is</w:t>
      </w:r>
      <w:r>
        <w:rPr>
          <w:lang w:val="en-US"/>
        </w:rPr>
        <w:t xml:space="preserve"> supported by a </w:t>
      </w:r>
      <w:r w:rsidR="00DD05CE">
        <w:rPr>
          <w:lang w:val="en-US"/>
        </w:rPr>
        <w:t>vice c</w:t>
      </w:r>
      <w:r>
        <w:rPr>
          <w:lang w:val="en-US"/>
        </w:rPr>
        <w:t>hair. They are referred to as the CBC leadership.</w:t>
      </w:r>
    </w:p>
    <w:p w14:paraId="52A67B19" w14:textId="4BB07B4B" w:rsidR="00F01747" w:rsidRDefault="00F01747" w:rsidP="00F01747">
      <w:pPr>
        <w:rPr>
          <w:lang w:val="en-US"/>
        </w:rPr>
      </w:pPr>
      <w:r w:rsidRPr="05BD72AA">
        <w:rPr>
          <w:lang w:val="en-US"/>
        </w:rPr>
        <w:t xml:space="preserve">The CBC operates with a flexible and agile structure of workstreams, primarily setting up task or project groups for specific purposes. Each </w:t>
      </w:r>
      <w:r w:rsidR="00591DEE" w:rsidRPr="05BD72AA">
        <w:rPr>
          <w:lang w:val="en-US"/>
        </w:rPr>
        <w:t>workstream</w:t>
      </w:r>
      <w:r w:rsidRPr="05BD72AA">
        <w:rPr>
          <w:lang w:val="en-US"/>
        </w:rPr>
        <w:t xml:space="preserve"> is chaired by a CBC-member who sets up a</w:t>
      </w:r>
      <w:r w:rsidR="00465003" w:rsidRPr="05BD72AA">
        <w:rPr>
          <w:lang w:val="en-US"/>
        </w:rPr>
        <w:t>n appropriate</w:t>
      </w:r>
      <w:r w:rsidRPr="05BD72AA">
        <w:rPr>
          <w:lang w:val="en-US"/>
        </w:rPr>
        <w:t xml:space="preserve"> structure to support the goal</w:t>
      </w:r>
      <w:r w:rsidR="00761E5C">
        <w:rPr>
          <w:lang w:val="en-US"/>
        </w:rPr>
        <w:t>s</w:t>
      </w:r>
      <w:r w:rsidRPr="05BD72AA">
        <w:rPr>
          <w:lang w:val="en-US"/>
        </w:rPr>
        <w:t xml:space="preserve"> of the workstream, for the period needed to accomplish the goals. </w:t>
      </w:r>
    </w:p>
    <w:p w14:paraId="57CD5302" w14:textId="56874713" w:rsidR="00B37D93" w:rsidRDefault="00B37D93" w:rsidP="00F01747">
      <w:pPr>
        <w:rPr>
          <w:lang w:val="en-US"/>
        </w:rPr>
      </w:pPr>
      <w:r>
        <w:rPr>
          <w:lang w:val="en-US"/>
        </w:rPr>
        <w:t xml:space="preserve">In line with the </w:t>
      </w:r>
      <w:r w:rsidR="00030B18">
        <w:rPr>
          <w:lang w:val="en-US"/>
        </w:rPr>
        <w:t>INTOSAI-</w:t>
      </w:r>
      <w:r w:rsidR="00030B18" w:rsidRPr="00030B18">
        <w:rPr>
          <w:lang w:val="en-US"/>
        </w:rPr>
        <w:t xml:space="preserve">approved </w:t>
      </w:r>
      <w:hyperlink w:history="1">
        <w:r w:rsidRPr="00030B18">
          <w:rPr>
            <w:rStyle w:val="Hyperlink"/>
            <w:color w:val="auto"/>
            <w:u w:val="none"/>
            <w:lang w:val="en-US"/>
          </w:rPr>
          <w:t>motion on sustainable, inclusive, and economical INTOSAI operations</w:t>
        </w:r>
      </w:hyperlink>
      <w:r w:rsidRPr="00030B18">
        <w:rPr>
          <w:lang w:val="en-US"/>
        </w:rPr>
        <w:t xml:space="preserve">, </w:t>
      </w:r>
      <w:r>
        <w:rPr>
          <w:lang w:val="en-US"/>
        </w:rPr>
        <w:t xml:space="preserve">the </w:t>
      </w:r>
      <w:r w:rsidR="00757A00">
        <w:rPr>
          <w:lang w:val="en-US"/>
        </w:rPr>
        <w:t xml:space="preserve">CBC and its </w:t>
      </w:r>
      <w:r>
        <w:rPr>
          <w:lang w:val="en-US"/>
        </w:rPr>
        <w:t>workstream</w:t>
      </w:r>
      <w:r w:rsidR="00757A00">
        <w:rPr>
          <w:lang w:val="en-US"/>
        </w:rPr>
        <w:t>s</w:t>
      </w:r>
      <w:r>
        <w:rPr>
          <w:lang w:val="en-US"/>
        </w:rPr>
        <w:t xml:space="preserve"> commit to making best use of technology to facilitate its work and to </w:t>
      </w:r>
      <w:r w:rsidR="008028FC">
        <w:rPr>
          <w:lang w:val="en-US"/>
        </w:rPr>
        <w:t>limit</w:t>
      </w:r>
      <w:r>
        <w:rPr>
          <w:lang w:val="en-US"/>
        </w:rPr>
        <w:t xml:space="preserve"> travel to the minimum level necessary to achieve its objectives. </w:t>
      </w:r>
    </w:p>
    <w:p w14:paraId="7AF66743" w14:textId="7744CAC1" w:rsidR="00F01747" w:rsidRDefault="00F01747" w:rsidP="00F01747">
      <w:pPr>
        <w:rPr>
          <w:lang w:val="en-US"/>
        </w:rPr>
      </w:pPr>
      <w:r>
        <w:rPr>
          <w:lang w:val="en-US"/>
        </w:rPr>
        <w:t xml:space="preserve">The workstreams operate autonomously over the time required to meet their objectives. </w:t>
      </w:r>
      <w:r w:rsidR="00320299">
        <w:rPr>
          <w:lang w:val="en-US"/>
        </w:rPr>
        <w:t xml:space="preserve">Each workstream </w:t>
      </w:r>
      <w:r>
        <w:rPr>
          <w:lang w:val="en-US"/>
        </w:rPr>
        <w:t>conduct</w:t>
      </w:r>
      <w:r w:rsidR="00320299">
        <w:rPr>
          <w:lang w:val="en-US"/>
        </w:rPr>
        <w:t>s</w:t>
      </w:r>
      <w:r>
        <w:rPr>
          <w:lang w:val="en-US"/>
        </w:rPr>
        <w:t xml:space="preserve"> </w:t>
      </w:r>
      <w:r w:rsidR="00A454E1">
        <w:rPr>
          <w:lang w:val="en-US"/>
        </w:rPr>
        <w:t xml:space="preserve">its </w:t>
      </w:r>
      <w:r>
        <w:rPr>
          <w:lang w:val="en-US"/>
        </w:rPr>
        <w:t xml:space="preserve">work in accordance with their </w:t>
      </w:r>
      <w:r w:rsidR="00320299">
        <w:rPr>
          <w:lang w:val="en-US"/>
        </w:rPr>
        <w:t xml:space="preserve">respective </w:t>
      </w:r>
      <w:r>
        <w:rPr>
          <w:lang w:val="en-US"/>
        </w:rPr>
        <w:t>terms of reference and work plan</w:t>
      </w:r>
      <w:r w:rsidR="004C5ED7">
        <w:rPr>
          <w:lang w:val="en-US"/>
        </w:rPr>
        <w:t>, as approved by the CBC Steering Committee</w:t>
      </w:r>
      <w:r>
        <w:rPr>
          <w:lang w:val="en-US"/>
        </w:rPr>
        <w:t>.</w:t>
      </w:r>
    </w:p>
    <w:p w14:paraId="59E478FD" w14:textId="6B3F12AF" w:rsidR="00344E79" w:rsidRPr="00E60799" w:rsidRDefault="00E60799" w:rsidP="00E60799">
      <w:pPr>
        <w:spacing w:after="240"/>
        <w:rPr>
          <w:lang w:val="en-ZA"/>
        </w:rPr>
      </w:pPr>
      <w:r w:rsidRPr="00D20A35">
        <w:rPr>
          <w:lang w:val="en-ZA"/>
        </w:rPr>
        <w:t>The Task Force on INTOSAI Auditor Professionalisation (TFIAP) is chaired by the Supreme Audit Institution of South Africa.</w:t>
      </w:r>
    </w:p>
    <w:p w14:paraId="2D02614C" w14:textId="77777777" w:rsidR="009048F6" w:rsidRDefault="009048F6" w:rsidP="009048F6">
      <w:pPr>
        <w:pStyle w:val="Heading3"/>
        <w:rPr>
          <w:lang w:val="en-US"/>
        </w:rPr>
      </w:pPr>
      <w:r>
        <w:rPr>
          <w:lang w:val="en-US"/>
        </w:rPr>
        <w:t>Objective</w:t>
      </w:r>
    </w:p>
    <w:p w14:paraId="4F5B5CDA" w14:textId="752417A0" w:rsidR="009048F6" w:rsidRPr="005D0473" w:rsidRDefault="009048F6" w:rsidP="009048F6">
      <w:pPr>
        <w:rPr>
          <w:iCs/>
          <w:color w:val="00B050"/>
          <w:lang w:val="en-US"/>
        </w:rPr>
      </w:pPr>
      <w:r>
        <w:rPr>
          <w:lang w:val="en-US"/>
        </w:rPr>
        <w:t xml:space="preserve">In line with INTOSAI’s </w:t>
      </w:r>
      <w:r w:rsidR="00720B84">
        <w:rPr>
          <w:lang w:val="en-US"/>
        </w:rPr>
        <w:t xml:space="preserve">organizational </w:t>
      </w:r>
      <w:r>
        <w:rPr>
          <w:lang w:val="en-US"/>
        </w:rPr>
        <w:t xml:space="preserve">priorities and the strategic objectives defined for </w:t>
      </w:r>
      <w:r w:rsidR="00720B84">
        <w:rPr>
          <w:lang w:val="en-US"/>
        </w:rPr>
        <w:t xml:space="preserve">Goal 2 </w:t>
      </w:r>
      <w:r>
        <w:rPr>
          <w:lang w:val="en-US"/>
        </w:rPr>
        <w:t xml:space="preserve">in </w:t>
      </w:r>
      <w:r w:rsidRPr="00030B18">
        <w:rPr>
          <w:lang w:val="en-US"/>
        </w:rPr>
        <w:t xml:space="preserve">the </w:t>
      </w:r>
      <w:hyperlink w:history="1">
        <w:r w:rsidRPr="00030B18">
          <w:rPr>
            <w:rStyle w:val="Hyperlink"/>
            <w:color w:val="auto"/>
            <w:u w:val="none"/>
            <w:lang w:val="en-US"/>
          </w:rPr>
          <w:t>INTOSAI Strategic Plan 20</w:t>
        </w:r>
        <w:r w:rsidR="008A4106" w:rsidRPr="00030B18">
          <w:rPr>
            <w:rStyle w:val="Hyperlink"/>
            <w:color w:val="auto"/>
            <w:u w:val="none"/>
            <w:lang w:val="en-US"/>
          </w:rPr>
          <w:t>23-2028</w:t>
        </w:r>
      </w:hyperlink>
      <w:r w:rsidR="00030B18">
        <w:rPr>
          <w:lang w:val="en-US"/>
        </w:rPr>
        <w:t xml:space="preserve">, </w:t>
      </w:r>
      <w:r w:rsidR="00452BC9" w:rsidRPr="00030B18">
        <w:rPr>
          <w:lang w:val="en-US"/>
        </w:rPr>
        <w:t>and</w:t>
      </w:r>
      <w:r w:rsidR="00932C5E">
        <w:rPr>
          <w:lang w:val="en-US"/>
        </w:rPr>
        <w:t xml:space="preserve"> </w:t>
      </w:r>
      <w:hyperlink r:id="rId11" w:history="1">
        <w:r w:rsidR="00932C5E" w:rsidRPr="002C3427">
          <w:rPr>
            <w:rStyle w:val="Hyperlink"/>
            <w:lang w:val="en-US"/>
          </w:rPr>
          <w:t>INTOSAI’s Goal 2 Operation Plan</w:t>
        </w:r>
      </w:hyperlink>
      <w:r w:rsidR="00932C5E" w:rsidRPr="002C3427">
        <w:rPr>
          <w:lang w:val="en-US"/>
        </w:rPr>
        <w:t>,</w:t>
      </w:r>
      <w:r>
        <w:rPr>
          <w:lang w:val="en-US"/>
        </w:rPr>
        <w:t xml:space="preserve"> </w:t>
      </w:r>
      <w:r w:rsidR="00E60799" w:rsidRPr="00D20A35">
        <w:rPr>
          <w:iCs/>
          <w:lang w:val="en-US"/>
        </w:rPr>
        <w:t>the TIAP</w:t>
      </w:r>
      <w:r w:rsidRPr="00E60799">
        <w:rPr>
          <w:i/>
          <w:lang w:val="en-US"/>
        </w:rPr>
        <w:t xml:space="preserve"> </w:t>
      </w:r>
      <w:r>
        <w:rPr>
          <w:lang w:val="en-US"/>
        </w:rPr>
        <w:t>works to</w:t>
      </w:r>
      <w:r w:rsidR="008C49BA">
        <w:rPr>
          <w:lang w:val="en-US"/>
        </w:rPr>
        <w:t xml:space="preserve"> </w:t>
      </w:r>
      <w:r w:rsidR="00D2528C">
        <w:rPr>
          <w:lang w:val="en-US"/>
        </w:rPr>
        <w:t xml:space="preserve">support the </w:t>
      </w:r>
      <w:r w:rsidR="008C49BA">
        <w:rPr>
          <w:lang w:val="en-US"/>
        </w:rPr>
        <w:t>achieve</w:t>
      </w:r>
      <w:r w:rsidR="00D2528C">
        <w:rPr>
          <w:lang w:val="en-US"/>
        </w:rPr>
        <w:t xml:space="preserve">ment of </w:t>
      </w:r>
      <w:r w:rsidR="008C49BA">
        <w:rPr>
          <w:lang w:val="en-US"/>
        </w:rPr>
        <w:t xml:space="preserve">the </w:t>
      </w:r>
      <w:r w:rsidR="00D2528C" w:rsidRPr="00D2528C">
        <w:rPr>
          <w:lang w:val="en-US"/>
        </w:rPr>
        <w:t xml:space="preserve">strategic objectives </w:t>
      </w:r>
      <w:r w:rsidR="00D2528C">
        <w:rPr>
          <w:lang w:val="en-US"/>
        </w:rPr>
        <w:t xml:space="preserve">of the CBC and the </w:t>
      </w:r>
      <w:r w:rsidR="008C49BA">
        <w:rPr>
          <w:lang w:val="en-US"/>
        </w:rPr>
        <w:t xml:space="preserve">Goal 2 </w:t>
      </w:r>
      <w:r w:rsidR="00932C5E">
        <w:rPr>
          <w:lang w:val="en-US"/>
        </w:rPr>
        <w:t xml:space="preserve">results identified in the operational plan </w:t>
      </w:r>
      <w:r w:rsidR="00720B84">
        <w:rPr>
          <w:lang w:val="en-US"/>
        </w:rPr>
        <w:t xml:space="preserve">by </w:t>
      </w:r>
      <w:r w:rsidR="00D2528C">
        <w:rPr>
          <w:lang w:val="en-US"/>
        </w:rPr>
        <w:t xml:space="preserve">means of the following workstream </w:t>
      </w:r>
      <w:r w:rsidR="00761E5C">
        <w:rPr>
          <w:lang w:val="en-US"/>
        </w:rPr>
        <w:t>goals/objectives</w:t>
      </w:r>
      <w:r w:rsidRPr="0027532D">
        <w:rPr>
          <w:i/>
          <w:color w:val="00B050"/>
          <w:lang w:val="en-US"/>
        </w:rPr>
        <w:t>:</w:t>
      </w:r>
      <w:r w:rsidR="00932C5E">
        <w:rPr>
          <w:i/>
          <w:color w:val="00B050"/>
          <w:lang w:val="en-US"/>
        </w:rPr>
        <w:t xml:space="preserve">   </w:t>
      </w:r>
    </w:p>
    <w:p w14:paraId="0120F0DE" w14:textId="7BADC4BB" w:rsidR="004C4B23" w:rsidRPr="005D0473" w:rsidRDefault="004C4B23" w:rsidP="00E60799">
      <w:pPr>
        <w:pStyle w:val="ListParagraph"/>
        <w:numPr>
          <w:ilvl w:val="0"/>
          <w:numId w:val="2"/>
        </w:numPr>
        <w:rPr>
          <w:iCs/>
          <w:sz w:val="22"/>
          <w:szCs w:val="22"/>
          <w:lang w:val="en-ZA"/>
        </w:rPr>
      </w:pPr>
      <w:r w:rsidRPr="005D0473">
        <w:rPr>
          <w:iCs/>
          <w:sz w:val="22"/>
          <w:szCs w:val="22"/>
          <w:lang w:val="en-ZA"/>
        </w:rPr>
        <w:t xml:space="preserve">Participate in global stock-taking activities relating to auditor </w:t>
      </w:r>
      <w:r w:rsidR="00C91EC4" w:rsidRPr="005D0473">
        <w:rPr>
          <w:iCs/>
          <w:sz w:val="22"/>
          <w:szCs w:val="22"/>
          <w:lang w:val="en-ZA"/>
        </w:rPr>
        <w:t>professionalisation (especially in the context of ISSAI 150 and its related guidance) to cont</w:t>
      </w:r>
      <w:r w:rsidR="00BD27F7" w:rsidRPr="005D0473">
        <w:rPr>
          <w:iCs/>
          <w:sz w:val="22"/>
          <w:szCs w:val="22"/>
          <w:lang w:val="en-ZA"/>
        </w:rPr>
        <w:t xml:space="preserve">inuously </w:t>
      </w:r>
      <w:r w:rsidR="00C91EC4" w:rsidRPr="005D0473">
        <w:rPr>
          <w:iCs/>
          <w:sz w:val="22"/>
          <w:szCs w:val="22"/>
          <w:lang w:val="en-ZA"/>
        </w:rPr>
        <w:t>inform the work-plans of th</w:t>
      </w:r>
      <w:r w:rsidR="00BD27F7" w:rsidRPr="005D0473">
        <w:rPr>
          <w:iCs/>
          <w:sz w:val="22"/>
          <w:szCs w:val="22"/>
          <w:lang w:val="en-ZA"/>
        </w:rPr>
        <w:t>e TFIAP and the INTOSAI CBC,</w:t>
      </w:r>
    </w:p>
    <w:p w14:paraId="4C3DE5C6" w14:textId="06FC3857" w:rsidR="00E60799" w:rsidRPr="005D0473" w:rsidRDefault="00E60799" w:rsidP="00E60799">
      <w:pPr>
        <w:pStyle w:val="ListParagraph"/>
        <w:numPr>
          <w:ilvl w:val="0"/>
          <w:numId w:val="2"/>
        </w:numPr>
        <w:rPr>
          <w:iCs/>
          <w:sz w:val="22"/>
          <w:szCs w:val="22"/>
          <w:lang w:val="en-ZA"/>
        </w:rPr>
      </w:pPr>
      <w:r w:rsidRPr="005D0473">
        <w:rPr>
          <w:iCs/>
          <w:sz w:val="22"/>
          <w:szCs w:val="22"/>
          <w:lang w:val="en-ZA"/>
        </w:rPr>
        <w:lastRenderedPageBreak/>
        <w:t>Continuing to research enabling mechanisms required to facilitate and structure professional development in INTOSAI, in cooperati</w:t>
      </w:r>
      <w:r w:rsidR="00706A7F" w:rsidRPr="005D0473">
        <w:rPr>
          <w:iCs/>
          <w:sz w:val="22"/>
          <w:szCs w:val="22"/>
          <w:lang w:val="en-ZA"/>
        </w:rPr>
        <w:t>on</w:t>
      </w:r>
      <w:r w:rsidRPr="005D0473">
        <w:rPr>
          <w:iCs/>
          <w:sz w:val="22"/>
          <w:szCs w:val="22"/>
          <w:lang w:val="en-ZA"/>
        </w:rPr>
        <w:t xml:space="preserve"> with relevant INTOSAI organs</w:t>
      </w:r>
      <w:r w:rsidR="00D3253D" w:rsidRPr="005D0473">
        <w:rPr>
          <w:iCs/>
          <w:sz w:val="22"/>
          <w:szCs w:val="22"/>
          <w:lang w:val="en-ZA"/>
        </w:rPr>
        <w:t xml:space="preserve">, </w:t>
      </w:r>
      <w:r w:rsidRPr="005D0473">
        <w:rPr>
          <w:iCs/>
          <w:sz w:val="22"/>
          <w:szCs w:val="22"/>
          <w:lang w:val="en-ZA"/>
        </w:rPr>
        <w:t>INTOSAI related entities</w:t>
      </w:r>
      <w:r w:rsidR="00D3253D" w:rsidRPr="005D0473">
        <w:rPr>
          <w:iCs/>
          <w:sz w:val="22"/>
          <w:szCs w:val="22"/>
          <w:lang w:val="en-ZA"/>
        </w:rPr>
        <w:t xml:space="preserve">, </w:t>
      </w:r>
      <w:r w:rsidR="006A1D3B" w:rsidRPr="005D0473">
        <w:rPr>
          <w:iCs/>
          <w:sz w:val="22"/>
          <w:szCs w:val="22"/>
          <w:lang w:val="en-ZA"/>
        </w:rPr>
        <w:t>the International Federation of Accountants (</w:t>
      </w:r>
      <w:r w:rsidR="00D3253D" w:rsidRPr="005D0473">
        <w:rPr>
          <w:iCs/>
          <w:sz w:val="22"/>
          <w:szCs w:val="22"/>
          <w:lang w:val="en-ZA"/>
        </w:rPr>
        <w:t>IFAC</w:t>
      </w:r>
      <w:r w:rsidR="006A1D3B" w:rsidRPr="005D0473">
        <w:rPr>
          <w:iCs/>
          <w:sz w:val="22"/>
          <w:szCs w:val="22"/>
          <w:lang w:val="en-ZA"/>
        </w:rPr>
        <w:t>)</w:t>
      </w:r>
      <w:r w:rsidR="00D3253D" w:rsidRPr="005D0473">
        <w:rPr>
          <w:iCs/>
          <w:sz w:val="22"/>
          <w:szCs w:val="22"/>
          <w:lang w:val="en-ZA"/>
        </w:rPr>
        <w:t xml:space="preserve">, the </w:t>
      </w:r>
      <w:r w:rsidR="006A1D3B" w:rsidRPr="005D0473">
        <w:rPr>
          <w:iCs/>
          <w:sz w:val="22"/>
          <w:szCs w:val="22"/>
          <w:lang w:val="en-ZA"/>
        </w:rPr>
        <w:t>Institute of Internal Auditors (</w:t>
      </w:r>
      <w:r w:rsidR="00D3253D" w:rsidRPr="005D0473">
        <w:rPr>
          <w:iCs/>
          <w:sz w:val="22"/>
          <w:szCs w:val="22"/>
          <w:lang w:val="en-ZA"/>
        </w:rPr>
        <w:t>IIA</w:t>
      </w:r>
      <w:r w:rsidR="006A1D3B" w:rsidRPr="005D0473">
        <w:rPr>
          <w:iCs/>
          <w:sz w:val="22"/>
          <w:szCs w:val="22"/>
          <w:lang w:val="en-ZA"/>
        </w:rPr>
        <w:t>)</w:t>
      </w:r>
      <w:r w:rsidR="00D3253D" w:rsidRPr="005D0473">
        <w:rPr>
          <w:iCs/>
          <w:sz w:val="22"/>
          <w:szCs w:val="22"/>
          <w:lang w:val="en-ZA"/>
        </w:rPr>
        <w:t xml:space="preserve"> and other professional accounting organisations (</w:t>
      </w:r>
      <w:r w:rsidR="00795E65" w:rsidRPr="005D0473">
        <w:rPr>
          <w:iCs/>
          <w:sz w:val="22"/>
          <w:szCs w:val="22"/>
          <w:lang w:val="en-ZA"/>
        </w:rPr>
        <w:t>PAOs) on</w:t>
      </w:r>
      <w:r w:rsidRPr="005D0473">
        <w:rPr>
          <w:iCs/>
          <w:sz w:val="22"/>
          <w:szCs w:val="22"/>
          <w:lang w:val="en-ZA"/>
        </w:rPr>
        <w:t xml:space="preserve"> work relating to auditor education, training and capacity development.</w:t>
      </w:r>
    </w:p>
    <w:p w14:paraId="7DA4BCFC" w14:textId="77777777" w:rsidR="00E60799" w:rsidRPr="005D0473" w:rsidRDefault="00E60799" w:rsidP="00E60799">
      <w:pPr>
        <w:pStyle w:val="ListParagraph"/>
        <w:ind w:left="360"/>
        <w:rPr>
          <w:iCs/>
          <w:sz w:val="22"/>
          <w:szCs w:val="22"/>
          <w:lang w:val="en-ZA"/>
        </w:rPr>
      </w:pPr>
    </w:p>
    <w:p w14:paraId="44C171F7" w14:textId="310E2E2C" w:rsidR="00E60799" w:rsidRPr="005D0473" w:rsidRDefault="00E60799" w:rsidP="00AC3159">
      <w:pPr>
        <w:pStyle w:val="ListParagraph"/>
        <w:numPr>
          <w:ilvl w:val="0"/>
          <w:numId w:val="2"/>
        </w:numPr>
        <w:rPr>
          <w:iCs/>
          <w:sz w:val="22"/>
          <w:szCs w:val="22"/>
          <w:lang w:val="en-ZA"/>
        </w:rPr>
      </w:pPr>
      <w:r w:rsidRPr="005D0473">
        <w:rPr>
          <w:iCs/>
          <w:sz w:val="22"/>
          <w:szCs w:val="22"/>
          <w:lang w:val="en-ZA"/>
        </w:rPr>
        <w:t xml:space="preserve">Utilising the </w:t>
      </w:r>
      <w:r w:rsidR="00351FA1" w:rsidRPr="005D0473">
        <w:rPr>
          <w:iCs/>
          <w:sz w:val="22"/>
          <w:szCs w:val="22"/>
          <w:lang w:val="en-ZA"/>
        </w:rPr>
        <w:t>newly approved ISSAI 150 on auditor competence</w:t>
      </w:r>
      <w:r w:rsidR="00C835F4">
        <w:rPr>
          <w:rStyle w:val="FootnoteReference"/>
          <w:iCs/>
          <w:sz w:val="22"/>
          <w:szCs w:val="22"/>
          <w:lang w:val="en-ZA"/>
        </w:rPr>
        <w:footnoteReference w:id="2"/>
      </w:r>
      <w:r w:rsidR="00351FA1" w:rsidRPr="005D0473">
        <w:rPr>
          <w:iCs/>
          <w:sz w:val="22"/>
          <w:szCs w:val="22"/>
          <w:lang w:val="en-ZA"/>
        </w:rPr>
        <w:t xml:space="preserve">, its related </w:t>
      </w:r>
      <w:r w:rsidR="00647593" w:rsidRPr="005D0473">
        <w:rPr>
          <w:iCs/>
          <w:sz w:val="22"/>
          <w:szCs w:val="22"/>
          <w:lang w:val="en-ZA"/>
        </w:rPr>
        <w:t xml:space="preserve">guidance (GUID 1950 and 1951) and the guide on human resource management practices as a basis, </w:t>
      </w:r>
      <w:r w:rsidR="00AC3159" w:rsidRPr="005D0473">
        <w:rPr>
          <w:iCs/>
          <w:sz w:val="22"/>
          <w:szCs w:val="22"/>
          <w:lang w:val="en-ZA"/>
        </w:rPr>
        <w:t>strive for successful adoption and implementation of these pronouncements, through:</w:t>
      </w:r>
    </w:p>
    <w:p w14:paraId="1C65B048" w14:textId="77777777" w:rsidR="00AC3159" w:rsidRPr="005D0473" w:rsidRDefault="00AC3159" w:rsidP="00AC3159">
      <w:pPr>
        <w:pStyle w:val="ListParagraph"/>
        <w:rPr>
          <w:iCs/>
          <w:sz w:val="22"/>
          <w:szCs w:val="22"/>
          <w:lang w:val="en-ZA"/>
        </w:rPr>
      </w:pPr>
    </w:p>
    <w:p w14:paraId="313A15DE" w14:textId="038B6A44" w:rsidR="00AC3159" w:rsidRPr="005D0473" w:rsidRDefault="00846FC7" w:rsidP="00846FC7">
      <w:pPr>
        <w:pStyle w:val="ListParagraph"/>
        <w:numPr>
          <w:ilvl w:val="1"/>
          <w:numId w:val="2"/>
        </w:numPr>
        <w:rPr>
          <w:iCs/>
          <w:sz w:val="22"/>
          <w:szCs w:val="22"/>
          <w:lang w:val="en-ZA"/>
        </w:rPr>
      </w:pPr>
      <w:r w:rsidRPr="005D0473">
        <w:rPr>
          <w:iCs/>
          <w:sz w:val="22"/>
          <w:szCs w:val="22"/>
          <w:lang w:val="en-ZA"/>
        </w:rPr>
        <w:t xml:space="preserve">Implementation advocacy </w:t>
      </w:r>
      <w:r w:rsidR="007D4523" w:rsidRPr="005D0473">
        <w:rPr>
          <w:iCs/>
          <w:sz w:val="22"/>
          <w:szCs w:val="22"/>
          <w:lang w:val="en-ZA"/>
        </w:rPr>
        <w:t>dealing with implementation success and related enabling relationships</w:t>
      </w:r>
      <w:r w:rsidR="00B41E0B" w:rsidRPr="005D0473">
        <w:rPr>
          <w:iCs/>
          <w:sz w:val="22"/>
          <w:szCs w:val="22"/>
          <w:lang w:val="en-ZA"/>
        </w:rPr>
        <w:t>, through</w:t>
      </w:r>
      <w:r w:rsidR="00882DF8" w:rsidRPr="005D0473">
        <w:rPr>
          <w:iCs/>
          <w:sz w:val="22"/>
          <w:szCs w:val="22"/>
          <w:lang w:val="en-ZA"/>
        </w:rPr>
        <w:t xml:space="preserve"> sharing of case studies on the CBC </w:t>
      </w:r>
      <w:r w:rsidR="00795E65" w:rsidRPr="005D0473">
        <w:rPr>
          <w:iCs/>
          <w:sz w:val="22"/>
          <w:szCs w:val="22"/>
          <w:lang w:val="en-ZA"/>
        </w:rPr>
        <w:t>website</w:t>
      </w:r>
      <w:r w:rsidR="00882DF8" w:rsidRPr="005D0473">
        <w:rPr>
          <w:iCs/>
          <w:sz w:val="22"/>
          <w:szCs w:val="22"/>
          <w:lang w:val="en-ZA"/>
        </w:rPr>
        <w:t>, hosting webinars</w:t>
      </w:r>
      <w:r w:rsidR="004030CF" w:rsidRPr="005D0473">
        <w:rPr>
          <w:iCs/>
          <w:sz w:val="22"/>
          <w:szCs w:val="22"/>
          <w:lang w:val="en-ZA"/>
        </w:rPr>
        <w:t xml:space="preserve"> and</w:t>
      </w:r>
      <w:r w:rsidR="00882DF8" w:rsidRPr="005D0473">
        <w:rPr>
          <w:iCs/>
          <w:sz w:val="22"/>
          <w:szCs w:val="22"/>
          <w:lang w:val="en-ZA"/>
        </w:rPr>
        <w:t xml:space="preserve"> c</w:t>
      </w:r>
      <w:r w:rsidR="006706C0">
        <w:rPr>
          <w:iCs/>
          <w:sz w:val="22"/>
          <w:szCs w:val="22"/>
          <w:lang w:val="en-ZA"/>
        </w:rPr>
        <w:t>onsidering the creation of</w:t>
      </w:r>
      <w:r w:rsidR="00882DF8" w:rsidRPr="005D0473">
        <w:rPr>
          <w:iCs/>
          <w:sz w:val="22"/>
          <w:szCs w:val="22"/>
          <w:lang w:val="en-ZA"/>
        </w:rPr>
        <w:t xml:space="preserve"> enabling communities of practice</w:t>
      </w:r>
      <w:r w:rsidR="007D4523" w:rsidRPr="005D0473">
        <w:rPr>
          <w:iCs/>
          <w:sz w:val="22"/>
          <w:szCs w:val="22"/>
          <w:lang w:val="en-ZA"/>
        </w:rPr>
        <w:t>,</w:t>
      </w:r>
    </w:p>
    <w:p w14:paraId="29E7D9EA" w14:textId="77777777" w:rsidR="00FA3A9D" w:rsidRPr="005D0473" w:rsidRDefault="00FA3A9D" w:rsidP="00FA3A9D">
      <w:pPr>
        <w:pStyle w:val="ListParagraph"/>
        <w:ind w:left="1080"/>
        <w:rPr>
          <w:iCs/>
          <w:sz w:val="22"/>
          <w:szCs w:val="22"/>
          <w:lang w:val="en-ZA"/>
        </w:rPr>
      </w:pPr>
    </w:p>
    <w:p w14:paraId="0744D530" w14:textId="0BD5F36A" w:rsidR="007D4523" w:rsidRPr="005D0473" w:rsidRDefault="00692912" w:rsidP="00846FC7">
      <w:pPr>
        <w:pStyle w:val="ListParagraph"/>
        <w:numPr>
          <w:ilvl w:val="1"/>
          <w:numId w:val="2"/>
        </w:numPr>
        <w:rPr>
          <w:iCs/>
          <w:sz w:val="22"/>
          <w:szCs w:val="22"/>
          <w:lang w:val="en-ZA"/>
        </w:rPr>
      </w:pPr>
      <w:r w:rsidRPr="005D0473">
        <w:rPr>
          <w:iCs/>
          <w:sz w:val="22"/>
          <w:szCs w:val="22"/>
          <w:lang w:val="en-ZA"/>
        </w:rPr>
        <w:t xml:space="preserve">Cementing the SAI-PAO relationship as an enabler of professionalisation </w:t>
      </w:r>
      <w:r w:rsidR="00FA3A9D" w:rsidRPr="005D0473">
        <w:rPr>
          <w:iCs/>
          <w:sz w:val="22"/>
          <w:szCs w:val="22"/>
          <w:lang w:val="en-ZA"/>
        </w:rPr>
        <w:t>sustainability,</w:t>
      </w:r>
    </w:p>
    <w:p w14:paraId="38D49436" w14:textId="77777777" w:rsidR="00FA3A9D" w:rsidRPr="005D0473" w:rsidRDefault="00FA3A9D" w:rsidP="00FA3A9D">
      <w:pPr>
        <w:pStyle w:val="ListParagraph"/>
        <w:rPr>
          <w:iCs/>
          <w:sz w:val="22"/>
          <w:szCs w:val="22"/>
          <w:lang w:val="en-ZA"/>
        </w:rPr>
      </w:pPr>
    </w:p>
    <w:p w14:paraId="47AF6D96" w14:textId="69212F6F" w:rsidR="00E84D12" w:rsidRPr="005D0473" w:rsidRDefault="00FA3A9D" w:rsidP="00846FC7">
      <w:pPr>
        <w:pStyle w:val="ListParagraph"/>
        <w:numPr>
          <w:ilvl w:val="1"/>
          <w:numId w:val="2"/>
        </w:numPr>
        <w:rPr>
          <w:iCs/>
          <w:sz w:val="22"/>
          <w:szCs w:val="22"/>
          <w:lang w:val="en-ZA"/>
        </w:rPr>
      </w:pPr>
      <w:r w:rsidRPr="005D0473">
        <w:rPr>
          <w:iCs/>
          <w:sz w:val="22"/>
          <w:szCs w:val="22"/>
          <w:lang w:val="en-ZA"/>
        </w:rPr>
        <w:t>Providing ongoing support to the Professional Education for SAI Auditor</w:t>
      </w:r>
      <w:r w:rsidR="00E84D12" w:rsidRPr="005D0473">
        <w:rPr>
          <w:iCs/>
          <w:sz w:val="22"/>
          <w:szCs w:val="22"/>
          <w:lang w:val="en-ZA"/>
        </w:rPr>
        <w:t>s (PESA) program run by the INTOSAI Development Initiative (IDI)</w:t>
      </w:r>
      <w:r w:rsidR="00EC2FFC" w:rsidRPr="005D0473">
        <w:rPr>
          <w:iCs/>
          <w:sz w:val="22"/>
          <w:szCs w:val="22"/>
          <w:lang w:val="en-ZA"/>
        </w:rPr>
        <w:t xml:space="preserve"> in the form of participation, provision of material</w:t>
      </w:r>
      <w:r w:rsidR="00E84D12" w:rsidRPr="005D0473">
        <w:rPr>
          <w:iCs/>
          <w:sz w:val="22"/>
          <w:szCs w:val="22"/>
          <w:lang w:val="en-ZA"/>
        </w:rPr>
        <w:t>,</w:t>
      </w:r>
      <w:r w:rsidR="000F16B1" w:rsidRPr="005D0473">
        <w:rPr>
          <w:iCs/>
          <w:sz w:val="22"/>
          <w:szCs w:val="22"/>
          <w:lang w:val="en-ZA"/>
        </w:rPr>
        <w:t xml:space="preserve"> development of enabling position papers, </w:t>
      </w:r>
    </w:p>
    <w:p w14:paraId="300BE491" w14:textId="77777777" w:rsidR="00E84D12" w:rsidRPr="005D0473" w:rsidRDefault="00E84D12" w:rsidP="00E84D12">
      <w:pPr>
        <w:pStyle w:val="ListParagraph"/>
        <w:rPr>
          <w:iCs/>
          <w:sz w:val="22"/>
          <w:szCs w:val="22"/>
          <w:lang w:val="en-ZA"/>
        </w:rPr>
      </w:pPr>
    </w:p>
    <w:p w14:paraId="546117DF" w14:textId="1C67866F" w:rsidR="00B46A67" w:rsidRPr="005D0473" w:rsidRDefault="00EC2FFC" w:rsidP="00846FC7">
      <w:pPr>
        <w:pStyle w:val="ListParagraph"/>
        <w:numPr>
          <w:ilvl w:val="1"/>
          <w:numId w:val="2"/>
        </w:numPr>
        <w:rPr>
          <w:iCs/>
          <w:sz w:val="22"/>
          <w:szCs w:val="22"/>
          <w:lang w:val="en-ZA"/>
        </w:rPr>
      </w:pPr>
      <w:r w:rsidRPr="005D0473">
        <w:rPr>
          <w:iCs/>
          <w:sz w:val="22"/>
          <w:szCs w:val="22"/>
          <w:lang w:val="en-ZA"/>
        </w:rPr>
        <w:t>Where appropriate</w:t>
      </w:r>
      <w:r w:rsidR="004030CF" w:rsidRPr="005D0473">
        <w:rPr>
          <w:iCs/>
          <w:sz w:val="22"/>
          <w:szCs w:val="22"/>
          <w:lang w:val="en-ZA"/>
        </w:rPr>
        <w:t>, partner</w:t>
      </w:r>
      <w:r w:rsidR="00AD45C7" w:rsidRPr="005D0473">
        <w:rPr>
          <w:iCs/>
          <w:sz w:val="22"/>
          <w:szCs w:val="22"/>
          <w:lang w:val="en-ZA"/>
        </w:rPr>
        <w:t>ing</w:t>
      </w:r>
      <w:r w:rsidR="004030CF" w:rsidRPr="005D0473">
        <w:rPr>
          <w:iCs/>
          <w:sz w:val="22"/>
          <w:szCs w:val="22"/>
          <w:lang w:val="en-ZA"/>
        </w:rPr>
        <w:t xml:space="preserve"> with the IDI on its TOGETHER (HR) program</w:t>
      </w:r>
      <w:r w:rsidR="00B46A67" w:rsidRPr="005D0473">
        <w:rPr>
          <w:iCs/>
          <w:sz w:val="22"/>
          <w:szCs w:val="22"/>
          <w:lang w:val="en-ZA"/>
        </w:rPr>
        <w:t>,</w:t>
      </w:r>
    </w:p>
    <w:p w14:paraId="2BDD9BBB" w14:textId="77777777" w:rsidR="00B46A67" w:rsidRPr="005D0473" w:rsidRDefault="00B46A67" w:rsidP="00B46A67">
      <w:pPr>
        <w:pStyle w:val="ListParagraph"/>
        <w:rPr>
          <w:iCs/>
          <w:sz w:val="22"/>
          <w:szCs w:val="22"/>
          <w:lang w:val="en-ZA"/>
        </w:rPr>
      </w:pPr>
    </w:p>
    <w:p w14:paraId="370D3E28" w14:textId="36AE563D" w:rsidR="00B02342" w:rsidRPr="005D0473" w:rsidRDefault="00B46A67" w:rsidP="00846FC7">
      <w:pPr>
        <w:pStyle w:val="ListParagraph"/>
        <w:numPr>
          <w:ilvl w:val="1"/>
          <w:numId w:val="2"/>
        </w:numPr>
        <w:rPr>
          <w:iCs/>
          <w:sz w:val="22"/>
          <w:szCs w:val="22"/>
          <w:lang w:val="en-ZA"/>
        </w:rPr>
      </w:pPr>
      <w:r w:rsidRPr="005D0473">
        <w:rPr>
          <w:iCs/>
          <w:sz w:val="22"/>
          <w:szCs w:val="22"/>
          <w:lang w:val="en-ZA"/>
        </w:rPr>
        <w:t>Participat</w:t>
      </w:r>
      <w:r w:rsidR="00AD45C7" w:rsidRPr="005D0473">
        <w:rPr>
          <w:iCs/>
          <w:sz w:val="22"/>
          <w:szCs w:val="22"/>
          <w:lang w:val="en-ZA"/>
        </w:rPr>
        <w:t>ing</w:t>
      </w:r>
      <w:r w:rsidRPr="005D0473">
        <w:rPr>
          <w:iCs/>
          <w:sz w:val="22"/>
          <w:szCs w:val="22"/>
          <w:lang w:val="en-ZA"/>
        </w:rPr>
        <w:t xml:space="preserve"> in the revision of the SAI PMF, specifically focused on the domain dealing with human resource management and development practices</w:t>
      </w:r>
      <w:r w:rsidR="00B02342" w:rsidRPr="005D0473">
        <w:rPr>
          <w:iCs/>
          <w:sz w:val="22"/>
          <w:szCs w:val="22"/>
          <w:lang w:val="en-ZA"/>
        </w:rPr>
        <w:t>,</w:t>
      </w:r>
    </w:p>
    <w:p w14:paraId="1216438D" w14:textId="77777777" w:rsidR="00B02342" w:rsidRPr="005D0473" w:rsidRDefault="00B02342" w:rsidP="00B02342">
      <w:pPr>
        <w:pStyle w:val="ListParagraph"/>
        <w:rPr>
          <w:iCs/>
          <w:sz w:val="22"/>
          <w:szCs w:val="22"/>
          <w:lang w:val="en-ZA"/>
        </w:rPr>
      </w:pPr>
    </w:p>
    <w:p w14:paraId="42B78A47" w14:textId="490E18BA" w:rsidR="00D43FAE" w:rsidRPr="005D0473" w:rsidRDefault="00B02342" w:rsidP="001D262B">
      <w:pPr>
        <w:pStyle w:val="ListParagraph"/>
        <w:numPr>
          <w:ilvl w:val="1"/>
          <w:numId w:val="2"/>
        </w:numPr>
        <w:rPr>
          <w:iCs/>
          <w:sz w:val="22"/>
          <w:szCs w:val="22"/>
          <w:lang w:val="en-US"/>
        </w:rPr>
      </w:pPr>
      <w:r w:rsidRPr="005D0473">
        <w:rPr>
          <w:iCs/>
          <w:sz w:val="22"/>
          <w:szCs w:val="22"/>
          <w:lang w:val="en-ZA"/>
        </w:rPr>
        <w:t xml:space="preserve">Supporting the IDI in the development of its “Centre for SAI </w:t>
      </w:r>
      <w:r w:rsidR="001D262B" w:rsidRPr="005D0473">
        <w:rPr>
          <w:iCs/>
          <w:sz w:val="22"/>
          <w:szCs w:val="22"/>
          <w:lang w:val="en-ZA"/>
        </w:rPr>
        <w:t>Professionals (refer to IDI Strategic plan 2023 to 2025).</w:t>
      </w:r>
    </w:p>
    <w:p w14:paraId="4FBE1A1E" w14:textId="77777777" w:rsidR="001D262B" w:rsidRPr="005D0473" w:rsidRDefault="001D262B" w:rsidP="001D262B">
      <w:pPr>
        <w:pStyle w:val="ListParagraph"/>
        <w:rPr>
          <w:iCs/>
          <w:color w:val="000000" w:themeColor="text1"/>
          <w:sz w:val="22"/>
          <w:szCs w:val="22"/>
          <w:lang w:val="en-US"/>
        </w:rPr>
      </w:pPr>
    </w:p>
    <w:p w14:paraId="4196713E" w14:textId="3CAFE380" w:rsidR="00C41CC7" w:rsidRDefault="009048F6" w:rsidP="009048F6">
      <w:pPr>
        <w:rPr>
          <w:lang w:val="en-US"/>
        </w:rPr>
      </w:pPr>
      <w:r>
        <w:rPr>
          <w:lang w:val="en-US"/>
        </w:rPr>
        <w:t xml:space="preserve">Details </w:t>
      </w:r>
      <w:r w:rsidR="0052444D">
        <w:rPr>
          <w:lang w:val="en-US"/>
        </w:rPr>
        <w:t>about</w:t>
      </w:r>
      <w:r>
        <w:rPr>
          <w:lang w:val="en-US"/>
        </w:rPr>
        <w:t xml:space="preserve"> the workstream’s initiatives</w:t>
      </w:r>
      <w:r w:rsidR="0052444D">
        <w:rPr>
          <w:lang w:val="en-US"/>
        </w:rPr>
        <w:t xml:space="preserve"> </w:t>
      </w:r>
      <w:r>
        <w:rPr>
          <w:lang w:val="en-US"/>
        </w:rPr>
        <w:t xml:space="preserve">can be found in the workstream’s </w:t>
      </w:r>
      <w:r w:rsidR="007B5603">
        <w:rPr>
          <w:lang w:val="en-US"/>
        </w:rPr>
        <w:t>high level</w:t>
      </w:r>
      <w:r>
        <w:rPr>
          <w:lang w:val="en-US"/>
        </w:rPr>
        <w:t xml:space="preserve"> work plan</w:t>
      </w:r>
      <w:r w:rsidR="002D408F">
        <w:rPr>
          <w:lang w:val="en-US"/>
        </w:rPr>
        <w:t xml:space="preserve"> on the </w:t>
      </w:r>
      <w:hyperlink r:id="rId12" w:history="1">
        <w:r w:rsidR="002D408F" w:rsidRPr="002C3427">
          <w:rPr>
            <w:rStyle w:val="Hyperlink"/>
            <w:lang w:val="en-US"/>
          </w:rPr>
          <w:t>CBC website</w:t>
        </w:r>
      </w:hyperlink>
      <w:r>
        <w:rPr>
          <w:lang w:val="en-US"/>
        </w:rPr>
        <w:t>.</w:t>
      </w:r>
      <w:r w:rsidR="002C3427" w:rsidRPr="002C3427">
        <w:t xml:space="preserve"> </w:t>
      </w:r>
    </w:p>
    <w:p w14:paraId="438325E6" w14:textId="2E880ED7" w:rsidR="00591DEE" w:rsidRPr="001F23B2" w:rsidRDefault="00591DEE" w:rsidP="00591DEE">
      <w:pPr>
        <w:rPr>
          <w:lang w:val="en-US"/>
        </w:rPr>
      </w:pPr>
      <w:r>
        <w:rPr>
          <w:lang w:val="en-US"/>
        </w:rPr>
        <w:t xml:space="preserve">When the workstream’s </w:t>
      </w:r>
      <w:r w:rsidR="002C3427">
        <w:rPr>
          <w:lang w:val="en-US"/>
        </w:rPr>
        <w:t xml:space="preserve">goals are achieved </w:t>
      </w:r>
      <w:r>
        <w:rPr>
          <w:lang w:val="en-US"/>
        </w:rPr>
        <w:t xml:space="preserve">the workstream is dissolved. Some workstreams may, after agreement with the CBC leadership, remain in place with limited resources to ensure continued tracking or support of specific issues. </w:t>
      </w:r>
    </w:p>
    <w:p w14:paraId="1951C23F" w14:textId="5A478977" w:rsidR="00591DEE" w:rsidRDefault="00591DEE" w:rsidP="001D4137">
      <w:pPr>
        <w:pStyle w:val="Heading3"/>
        <w:rPr>
          <w:lang w:val="en-US"/>
        </w:rPr>
      </w:pPr>
      <w:r>
        <w:rPr>
          <w:lang w:val="en-US"/>
        </w:rPr>
        <w:lastRenderedPageBreak/>
        <w:t>Membership</w:t>
      </w:r>
    </w:p>
    <w:p w14:paraId="7095AE9F" w14:textId="77777777" w:rsidR="00591DEE" w:rsidRDefault="00591DEE" w:rsidP="00591DEE">
      <w:pPr>
        <w:rPr>
          <w:lang w:val="en-US"/>
        </w:rPr>
      </w:pPr>
      <w:r>
        <w:rPr>
          <w:lang w:val="en-US"/>
        </w:rPr>
        <w:t xml:space="preserve">The CBC is based on open and voluntary membership. The membership constitutes a pool of resources to carry out committee and workstream initiatives, as needed and appropriate. </w:t>
      </w:r>
    </w:p>
    <w:p w14:paraId="3958EB65" w14:textId="2419B0FD" w:rsidR="00591DEE" w:rsidRDefault="00591DEE" w:rsidP="00591DEE">
      <w:pPr>
        <w:rPr>
          <w:lang w:val="en-US"/>
        </w:rPr>
      </w:pPr>
      <w:r>
        <w:rPr>
          <w:lang w:val="en-US"/>
        </w:rPr>
        <w:t xml:space="preserve">The INTOSAI Handbook for Committees regulates issues relating to membership of committees. </w:t>
      </w:r>
      <w:r w:rsidR="00273F8F">
        <w:rPr>
          <w:lang w:val="en-US"/>
        </w:rPr>
        <w:t>Member</w:t>
      </w:r>
      <w:r w:rsidR="002C3427">
        <w:rPr>
          <w:lang w:val="en-US"/>
        </w:rPr>
        <w:t>s</w:t>
      </w:r>
      <w:r w:rsidR="00273F8F">
        <w:rPr>
          <w:lang w:val="en-US"/>
        </w:rPr>
        <w:t xml:space="preserve"> of </w:t>
      </w:r>
      <w:r w:rsidR="001029CF">
        <w:rPr>
          <w:lang w:val="en-US"/>
        </w:rPr>
        <w:t>CBC workstream</w:t>
      </w:r>
      <w:r w:rsidR="00273F8F">
        <w:rPr>
          <w:lang w:val="en-US"/>
        </w:rPr>
        <w:t xml:space="preserve">s are </w:t>
      </w:r>
      <w:r w:rsidR="005378B7">
        <w:rPr>
          <w:lang w:val="en-US"/>
        </w:rPr>
        <w:t xml:space="preserve">automatically </w:t>
      </w:r>
      <w:r w:rsidR="00273F8F">
        <w:rPr>
          <w:lang w:val="en-US"/>
        </w:rPr>
        <w:t>also members of t</w:t>
      </w:r>
      <w:r w:rsidR="00A712D3">
        <w:rPr>
          <w:lang w:val="en-US"/>
        </w:rPr>
        <w:t>he CBC</w:t>
      </w:r>
      <w:r>
        <w:rPr>
          <w:lang w:val="en-US"/>
        </w:rPr>
        <w:t>.  Some of the rules and recommendations relating to committee membership also apply to workstream membership:</w:t>
      </w:r>
    </w:p>
    <w:p w14:paraId="71897BA5" w14:textId="17669911" w:rsidR="005B777F" w:rsidRDefault="005B777F" w:rsidP="002C3427">
      <w:pPr>
        <w:pStyle w:val="ListParagraph"/>
        <w:numPr>
          <w:ilvl w:val="0"/>
          <w:numId w:val="3"/>
        </w:numPr>
        <w:ind w:left="357" w:hanging="357"/>
        <w:contextualSpacing w:val="0"/>
        <w:rPr>
          <w:sz w:val="22"/>
          <w:szCs w:val="22"/>
          <w:lang w:val="en-US"/>
        </w:rPr>
      </w:pPr>
      <w:r>
        <w:rPr>
          <w:sz w:val="22"/>
          <w:szCs w:val="22"/>
          <w:lang w:val="en-US"/>
        </w:rPr>
        <w:t xml:space="preserve">The workstream should be reflective of all key players in the 2023 </w:t>
      </w:r>
      <w:r w:rsidR="00202843">
        <w:rPr>
          <w:sz w:val="22"/>
          <w:szCs w:val="22"/>
          <w:lang w:val="en-US"/>
        </w:rPr>
        <w:t xml:space="preserve">- </w:t>
      </w:r>
      <w:r>
        <w:rPr>
          <w:sz w:val="22"/>
          <w:szCs w:val="22"/>
          <w:lang w:val="en-US"/>
        </w:rPr>
        <w:t xml:space="preserve">2025 </w:t>
      </w:r>
      <w:r w:rsidR="009D2BCD">
        <w:rPr>
          <w:sz w:val="22"/>
          <w:szCs w:val="22"/>
          <w:lang w:val="en-US"/>
        </w:rPr>
        <w:t xml:space="preserve">INTOSAI </w:t>
      </w:r>
      <w:r>
        <w:rPr>
          <w:sz w:val="22"/>
          <w:szCs w:val="22"/>
          <w:lang w:val="en-US"/>
        </w:rPr>
        <w:t xml:space="preserve">goal 2 operational </w:t>
      </w:r>
      <w:proofErr w:type="gramStart"/>
      <w:r>
        <w:rPr>
          <w:sz w:val="22"/>
          <w:szCs w:val="22"/>
          <w:lang w:val="en-US"/>
        </w:rPr>
        <w:t>plan</w:t>
      </w:r>
      <w:proofErr w:type="gramEnd"/>
      <w:r w:rsidR="00202843">
        <w:rPr>
          <w:sz w:val="22"/>
          <w:szCs w:val="22"/>
          <w:lang w:val="en-US"/>
        </w:rPr>
        <w:t xml:space="preserve"> (that unpacks the current 2023 – 2025 INTOSAI strategi plan),</w:t>
      </w:r>
    </w:p>
    <w:p w14:paraId="234B4F3F" w14:textId="6D76618E" w:rsidR="00591DEE" w:rsidRPr="00241D53" w:rsidRDefault="00591DEE" w:rsidP="002C3427">
      <w:pPr>
        <w:pStyle w:val="ListParagraph"/>
        <w:numPr>
          <w:ilvl w:val="0"/>
          <w:numId w:val="3"/>
        </w:numPr>
        <w:ind w:left="357" w:hanging="357"/>
        <w:contextualSpacing w:val="0"/>
        <w:rPr>
          <w:sz w:val="22"/>
          <w:szCs w:val="22"/>
          <w:lang w:val="en-US"/>
        </w:rPr>
      </w:pPr>
      <w:r w:rsidRPr="00241D53">
        <w:rPr>
          <w:sz w:val="22"/>
          <w:szCs w:val="22"/>
          <w:lang w:val="en-US"/>
        </w:rPr>
        <w:t xml:space="preserve">The size of the workstream is the prerogative of the workstream chair, who also has the responsibility for selecting members from those who volunteer, </w:t>
      </w:r>
    </w:p>
    <w:p w14:paraId="1B2BD74A" w14:textId="7D958E05" w:rsidR="00591DEE" w:rsidRPr="00241D53" w:rsidRDefault="00BA3DC4" w:rsidP="002C3427">
      <w:pPr>
        <w:pStyle w:val="ListParagraph"/>
        <w:numPr>
          <w:ilvl w:val="0"/>
          <w:numId w:val="3"/>
        </w:numPr>
        <w:ind w:left="357" w:hanging="357"/>
        <w:contextualSpacing w:val="0"/>
        <w:rPr>
          <w:sz w:val="22"/>
          <w:szCs w:val="22"/>
          <w:lang w:val="en-US"/>
        </w:rPr>
      </w:pPr>
      <w:r>
        <w:rPr>
          <w:sz w:val="22"/>
          <w:szCs w:val="22"/>
          <w:lang w:val="en-US"/>
        </w:rPr>
        <w:t>Members should be</w:t>
      </w:r>
      <w:r w:rsidR="00591DEE" w:rsidRPr="00241D53">
        <w:rPr>
          <w:sz w:val="22"/>
          <w:szCs w:val="22"/>
          <w:lang w:val="en-US"/>
        </w:rPr>
        <w:t xml:space="preserve"> technically experienced in the specific field of the workstream</w:t>
      </w:r>
      <w:r w:rsidR="00E511FE">
        <w:rPr>
          <w:sz w:val="22"/>
          <w:szCs w:val="22"/>
          <w:lang w:val="en-US"/>
        </w:rPr>
        <w:t xml:space="preserve"> (including knowledge and experience in the fields of auditing</w:t>
      </w:r>
      <w:r w:rsidR="00591DEE" w:rsidRPr="00241D53">
        <w:rPr>
          <w:sz w:val="22"/>
          <w:szCs w:val="22"/>
          <w:lang w:val="en-US"/>
        </w:rPr>
        <w:t>,</w:t>
      </w:r>
      <w:r w:rsidR="00E511FE">
        <w:rPr>
          <w:sz w:val="22"/>
          <w:szCs w:val="22"/>
          <w:lang w:val="en-US"/>
        </w:rPr>
        <w:t xml:space="preserve"> capacity development, </w:t>
      </w:r>
      <w:r w:rsidR="005B777F">
        <w:rPr>
          <w:sz w:val="22"/>
          <w:szCs w:val="22"/>
          <w:lang w:val="en-US"/>
        </w:rPr>
        <w:t>competence management and/or human resource management)</w:t>
      </w:r>
    </w:p>
    <w:p w14:paraId="7BEEFC95" w14:textId="77777777" w:rsidR="00591DEE" w:rsidRPr="00241D53" w:rsidRDefault="00591DEE" w:rsidP="002C3427">
      <w:pPr>
        <w:pStyle w:val="ListParagraph"/>
        <w:numPr>
          <w:ilvl w:val="0"/>
          <w:numId w:val="3"/>
        </w:numPr>
        <w:ind w:left="357" w:hanging="357"/>
        <w:contextualSpacing w:val="0"/>
        <w:rPr>
          <w:sz w:val="22"/>
          <w:szCs w:val="22"/>
          <w:lang w:val="en-US"/>
        </w:rPr>
      </w:pPr>
      <w:r w:rsidRPr="00241D53">
        <w:rPr>
          <w:sz w:val="22"/>
          <w:szCs w:val="22"/>
          <w:lang w:val="en-US"/>
        </w:rPr>
        <w:t>INTOSAI members interested in participating in the workstream may contact the workstream chair to express their interest, and</w:t>
      </w:r>
    </w:p>
    <w:p w14:paraId="1A5CE401" w14:textId="77777777" w:rsidR="00591DEE" w:rsidRPr="00241D53" w:rsidRDefault="00591DEE" w:rsidP="00591DEE">
      <w:pPr>
        <w:pStyle w:val="ListParagraph"/>
        <w:numPr>
          <w:ilvl w:val="0"/>
          <w:numId w:val="3"/>
        </w:numPr>
        <w:rPr>
          <w:sz w:val="22"/>
          <w:szCs w:val="22"/>
          <w:lang w:val="en-US"/>
        </w:rPr>
      </w:pPr>
      <w:r w:rsidRPr="00241D53">
        <w:rPr>
          <w:sz w:val="22"/>
          <w:szCs w:val="22"/>
          <w:lang w:val="en-US"/>
        </w:rPr>
        <w:t xml:space="preserve">Members may withdraw from membership by notifying the workstream chair. </w:t>
      </w:r>
    </w:p>
    <w:p w14:paraId="78A3C836" w14:textId="77777777" w:rsidR="00591DEE" w:rsidRPr="00785D4B" w:rsidRDefault="00591DEE" w:rsidP="00591DEE">
      <w:pPr>
        <w:rPr>
          <w:lang w:val="en-US"/>
        </w:rPr>
      </w:pPr>
      <w:r>
        <w:rPr>
          <w:lang w:val="en-US"/>
        </w:rPr>
        <w:t>The workstream chair strives to achieve diversity in the membership, as appropriate</w:t>
      </w:r>
      <w:r w:rsidR="003E7341">
        <w:rPr>
          <w:lang w:val="en-US"/>
        </w:rPr>
        <w:t>.</w:t>
      </w:r>
      <w:r>
        <w:rPr>
          <w:color w:val="00B050"/>
          <w:u w:val="single"/>
          <w:lang w:val="en-US"/>
        </w:rPr>
        <w:t xml:space="preserve"> </w:t>
      </w:r>
      <w:r w:rsidRPr="00785D4B">
        <w:rPr>
          <w:color w:val="00B050"/>
          <w:u w:val="single"/>
          <w:lang w:val="en-US"/>
        </w:rPr>
        <w:t xml:space="preserve"> </w:t>
      </w:r>
    </w:p>
    <w:p w14:paraId="3E44B541" w14:textId="77777777" w:rsidR="00591DEE" w:rsidRDefault="00591DEE" w:rsidP="00473B57">
      <w:pPr>
        <w:pStyle w:val="Heading3"/>
        <w:rPr>
          <w:lang w:val="en-US"/>
        </w:rPr>
      </w:pPr>
      <w:r>
        <w:rPr>
          <w:lang w:val="en-US"/>
        </w:rPr>
        <w:t>Responsibilities of workstream chair</w:t>
      </w:r>
    </w:p>
    <w:p w14:paraId="6CEA5F58" w14:textId="77777777" w:rsidR="00591DEE" w:rsidRDefault="00591DEE" w:rsidP="006014B6">
      <w:pPr>
        <w:keepNext/>
        <w:spacing w:after="120"/>
        <w:rPr>
          <w:lang w:val="en-US"/>
        </w:rPr>
      </w:pPr>
      <w:r>
        <w:rPr>
          <w:lang w:val="en-US"/>
        </w:rPr>
        <w:t>The workstream chair:</w:t>
      </w:r>
    </w:p>
    <w:p w14:paraId="76589FE9" w14:textId="2D5D27CF" w:rsidR="00591DEE" w:rsidRPr="003E7341" w:rsidRDefault="00591DEE" w:rsidP="006014B6">
      <w:pPr>
        <w:pStyle w:val="ListParagraph"/>
        <w:numPr>
          <w:ilvl w:val="0"/>
          <w:numId w:val="4"/>
        </w:numPr>
        <w:ind w:left="357" w:hanging="357"/>
        <w:contextualSpacing w:val="0"/>
        <w:rPr>
          <w:sz w:val="22"/>
          <w:szCs w:val="22"/>
          <w:lang w:val="en-US"/>
        </w:rPr>
      </w:pPr>
      <w:r w:rsidRPr="003E7341">
        <w:rPr>
          <w:sz w:val="22"/>
          <w:szCs w:val="22"/>
          <w:lang w:val="en-US"/>
        </w:rPr>
        <w:t xml:space="preserve">Is responsible for the work of their workstream in accordance with </w:t>
      </w:r>
      <w:proofErr w:type="gramStart"/>
      <w:r w:rsidRPr="003E7341">
        <w:rPr>
          <w:sz w:val="22"/>
          <w:szCs w:val="22"/>
          <w:lang w:val="en-US"/>
        </w:rPr>
        <w:t>this terms of reference</w:t>
      </w:r>
      <w:proofErr w:type="gramEnd"/>
      <w:r w:rsidRPr="003E7341">
        <w:rPr>
          <w:sz w:val="22"/>
          <w:szCs w:val="22"/>
          <w:lang w:val="en-US"/>
        </w:rPr>
        <w:t>, which is approved by the CBC Steering Committee</w:t>
      </w:r>
      <w:r w:rsidR="00FF299C">
        <w:rPr>
          <w:sz w:val="22"/>
          <w:szCs w:val="22"/>
          <w:lang w:val="en-US"/>
        </w:rPr>
        <w:t>,</w:t>
      </w:r>
    </w:p>
    <w:p w14:paraId="40FBB20B" w14:textId="7926BD64" w:rsidR="00591DEE" w:rsidRPr="003E7341" w:rsidRDefault="00794162" w:rsidP="006014B6">
      <w:pPr>
        <w:pStyle w:val="ListParagraph"/>
        <w:numPr>
          <w:ilvl w:val="0"/>
          <w:numId w:val="4"/>
        </w:numPr>
        <w:ind w:left="357" w:hanging="357"/>
        <w:contextualSpacing w:val="0"/>
        <w:rPr>
          <w:sz w:val="22"/>
          <w:szCs w:val="22"/>
          <w:lang w:val="en-US"/>
        </w:rPr>
      </w:pPr>
      <w:r>
        <w:rPr>
          <w:sz w:val="22"/>
          <w:szCs w:val="22"/>
          <w:lang w:val="en-US"/>
        </w:rPr>
        <w:t>A</w:t>
      </w:r>
      <w:r w:rsidR="00EA3B1F">
        <w:rPr>
          <w:sz w:val="22"/>
          <w:szCs w:val="22"/>
          <w:lang w:val="en-US"/>
        </w:rPr>
        <w:t>nnually</w:t>
      </w:r>
      <w:r w:rsidR="00EA3B1F" w:rsidRPr="003E7341">
        <w:rPr>
          <w:sz w:val="22"/>
          <w:szCs w:val="22"/>
          <w:lang w:val="en-US"/>
        </w:rPr>
        <w:t xml:space="preserve"> </w:t>
      </w:r>
      <w:r>
        <w:rPr>
          <w:sz w:val="22"/>
          <w:szCs w:val="22"/>
          <w:lang w:val="en-US"/>
        </w:rPr>
        <w:t>r</w:t>
      </w:r>
      <w:r w:rsidR="00591DEE" w:rsidRPr="003E7341">
        <w:rPr>
          <w:sz w:val="22"/>
          <w:szCs w:val="22"/>
          <w:lang w:val="en-US"/>
        </w:rPr>
        <w:t>eports to the CBC Steering Committee and to the CBC leadership in terms of agreed progress indicators, and may be asked to report to the INTOSAI Governing Board or Congress</w:t>
      </w:r>
      <w:r w:rsidR="00FF299C">
        <w:rPr>
          <w:sz w:val="22"/>
          <w:szCs w:val="22"/>
          <w:lang w:val="en-US"/>
        </w:rPr>
        <w:t>,</w:t>
      </w:r>
    </w:p>
    <w:p w14:paraId="12EA2857" w14:textId="5403CE0E" w:rsidR="00591DEE" w:rsidRPr="003E7341" w:rsidRDefault="00591DEE" w:rsidP="006014B6">
      <w:pPr>
        <w:pStyle w:val="ListParagraph"/>
        <w:numPr>
          <w:ilvl w:val="0"/>
          <w:numId w:val="4"/>
        </w:numPr>
        <w:ind w:left="357" w:hanging="357"/>
        <w:contextualSpacing w:val="0"/>
        <w:rPr>
          <w:sz w:val="22"/>
          <w:szCs w:val="22"/>
          <w:lang w:val="en-US"/>
        </w:rPr>
      </w:pPr>
      <w:r w:rsidRPr="003E7341">
        <w:rPr>
          <w:sz w:val="22"/>
          <w:szCs w:val="22"/>
          <w:lang w:val="en-US"/>
        </w:rPr>
        <w:t>Conducts its work in accordance with INTOSAI’s due process, handbook for committees and other INTOSAI rules and procedures</w:t>
      </w:r>
      <w:r w:rsidR="00FF299C">
        <w:rPr>
          <w:sz w:val="22"/>
          <w:szCs w:val="22"/>
          <w:lang w:val="en-US"/>
        </w:rPr>
        <w:t>,</w:t>
      </w:r>
    </w:p>
    <w:p w14:paraId="3C1A4B00" w14:textId="4B2CE760" w:rsidR="00591DEE" w:rsidRDefault="00591DEE" w:rsidP="006014B6">
      <w:pPr>
        <w:pStyle w:val="ListParagraph"/>
        <w:numPr>
          <w:ilvl w:val="0"/>
          <w:numId w:val="4"/>
        </w:numPr>
        <w:ind w:left="357" w:hanging="357"/>
        <w:contextualSpacing w:val="0"/>
        <w:rPr>
          <w:sz w:val="22"/>
          <w:szCs w:val="22"/>
          <w:lang w:val="en-US"/>
        </w:rPr>
      </w:pPr>
      <w:r w:rsidRPr="003E7341">
        <w:rPr>
          <w:sz w:val="22"/>
          <w:szCs w:val="22"/>
          <w:lang w:val="en-US"/>
        </w:rPr>
        <w:t>Informs the CBC- and INTOSAI membership and stakeholders about its progress, through formal reports, contributions to the CBC website, the INTOSAI Journal of Government Audit, and otherwise as requested by the CBC leadership</w:t>
      </w:r>
      <w:r w:rsidR="00FF299C">
        <w:rPr>
          <w:sz w:val="22"/>
          <w:szCs w:val="22"/>
          <w:lang w:val="en-US"/>
        </w:rPr>
        <w:t>,</w:t>
      </w:r>
    </w:p>
    <w:p w14:paraId="57BC1E15" w14:textId="0808C365" w:rsidR="00292B78" w:rsidRDefault="00292B78" w:rsidP="006014B6">
      <w:pPr>
        <w:pStyle w:val="ListParagraph"/>
        <w:numPr>
          <w:ilvl w:val="0"/>
          <w:numId w:val="4"/>
        </w:numPr>
        <w:ind w:left="357" w:hanging="357"/>
        <w:contextualSpacing w:val="0"/>
        <w:rPr>
          <w:sz w:val="22"/>
          <w:szCs w:val="22"/>
          <w:lang w:val="en-US"/>
        </w:rPr>
      </w:pPr>
      <w:r>
        <w:rPr>
          <w:sz w:val="22"/>
          <w:szCs w:val="22"/>
          <w:lang w:val="en-US"/>
        </w:rPr>
        <w:t>Coordinates its initiatives with</w:t>
      </w:r>
      <w:r w:rsidR="0094675B">
        <w:rPr>
          <w:sz w:val="22"/>
          <w:szCs w:val="22"/>
          <w:lang w:val="en-US"/>
        </w:rPr>
        <w:t xml:space="preserve">in the CBC and with other INTOSAI bodies to ensure </w:t>
      </w:r>
      <w:r w:rsidR="00E54655">
        <w:rPr>
          <w:sz w:val="22"/>
          <w:szCs w:val="22"/>
          <w:lang w:val="en-US"/>
        </w:rPr>
        <w:t>maximum benefits for its members</w:t>
      </w:r>
      <w:r w:rsidR="00FF299C">
        <w:rPr>
          <w:sz w:val="22"/>
          <w:szCs w:val="22"/>
          <w:lang w:val="en-US"/>
        </w:rPr>
        <w:t>,</w:t>
      </w:r>
      <w:r w:rsidR="00E54655">
        <w:rPr>
          <w:sz w:val="22"/>
          <w:szCs w:val="22"/>
          <w:lang w:val="en-US"/>
        </w:rPr>
        <w:t xml:space="preserve"> </w:t>
      </w:r>
    </w:p>
    <w:p w14:paraId="66DAF8B9" w14:textId="6B9D1742" w:rsidR="00E54655" w:rsidRPr="003E7341" w:rsidRDefault="00AC37E5" w:rsidP="006014B6">
      <w:pPr>
        <w:pStyle w:val="ListParagraph"/>
        <w:numPr>
          <w:ilvl w:val="0"/>
          <w:numId w:val="4"/>
        </w:numPr>
        <w:ind w:left="357" w:hanging="357"/>
        <w:contextualSpacing w:val="0"/>
        <w:rPr>
          <w:sz w:val="22"/>
          <w:szCs w:val="22"/>
          <w:lang w:val="en-US"/>
        </w:rPr>
      </w:pPr>
      <w:r>
        <w:rPr>
          <w:sz w:val="22"/>
          <w:szCs w:val="22"/>
          <w:lang w:val="en-US"/>
        </w:rPr>
        <w:lastRenderedPageBreak/>
        <w:t>In their initiatives, takes into consideration the different preconditions for SAIs</w:t>
      </w:r>
      <w:r w:rsidR="0046735E">
        <w:rPr>
          <w:sz w:val="22"/>
          <w:szCs w:val="22"/>
          <w:lang w:val="en-US"/>
        </w:rPr>
        <w:t xml:space="preserve"> working in varying contexts</w:t>
      </w:r>
      <w:r w:rsidR="00FF299C">
        <w:rPr>
          <w:sz w:val="22"/>
          <w:szCs w:val="22"/>
          <w:lang w:val="en-US"/>
        </w:rPr>
        <w:t>, and</w:t>
      </w:r>
    </w:p>
    <w:p w14:paraId="7984BD07" w14:textId="77777777" w:rsidR="00591DEE" w:rsidRPr="003E7341" w:rsidRDefault="00591DEE" w:rsidP="00591DEE">
      <w:pPr>
        <w:pStyle w:val="ListParagraph"/>
        <w:numPr>
          <w:ilvl w:val="0"/>
          <w:numId w:val="4"/>
        </w:numPr>
        <w:rPr>
          <w:sz w:val="22"/>
          <w:szCs w:val="22"/>
          <w:lang w:val="en-US"/>
        </w:rPr>
      </w:pPr>
      <w:r w:rsidRPr="003E7341">
        <w:rPr>
          <w:sz w:val="22"/>
          <w:szCs w:val="22"/>
          <w:lang w:val="en-US"/>
        </w:rPr>
        <w:t xml:space="preserve">Represents the workstream as a member of the CBC Steering Committee. </w:t>
      </w:r>
    </w:p>
    <w:p w14:paraId="74549DFD" w14:textId="77777777" w:rsidR="00591DEE" w:rsidRDefault="00F969E4" w:rsidP="00591DEE">
      <w:pPr>
        <w:rPr>
          <w:lang w:val="en-US"/>
        </w:rPr>
      </w:pPr>
      <w:r>
        <w:rPr>
          <w:lang w:val="en-US"/>
        </w:rPr>
        <w:t xml:space="preserve">If </w:t>
      </w:r>
      <w:r w:rsidR="00591DEE">
        <w:rPr>
          <w:lang w:val="en-US"/>
        </w:rPr>
        <w:t xml:space="preserve">the workstream chair resigns from its duties prior to the dissolution of the workstream, the workstream chair is expected to discuss and agree its successor with the CBC leadership prior to the CBC </w:t>
      </w:r>
      <w:r w:rsidR="00DE4EE1">
        <w:rPr>
          <w:lang w:val="en-US"/>
        </w:rPr>
        <w:t>S</w:t>
      </w:r>
      <w:r w:rsidR="00591DEE">
        <w:rPr>
          <w:lang w:val="en-US"/>
        </w:rPr>
        <w:t xml:space="preserve">teering </w:t>
      </w:r>
      <w:r w:rsidR="00DE4EE1">
        <w:rPr>
          <w:lang w:val="en-US"/>
        </w:rPr>
        <w:t>C</w:t>
      </w:r>
      <w:r w:rsidR="00591DEE">
        <w:rPr>
          <w:lang w:val="en-US"/>
        </w:rPr>
        <w:t xml:space="preserve">ommittee’s consideration and approval of the new chair. </w:t>
      </w:r>
    </w:p>
    <w:p w14:paraId="6D3DFB34" w14:textId="77777777" w:rsidR="00E91EE5" w:rsidRDefault="00E91EE5" w:rsidP="00E91EE5">
      <w:pPr>
        <w:pStyle w:val="Heading2"/>
        <w:rPr>
          <w:lang w:val="en-US"/>
        </w:rPr>
      </w:pPr>
      <w:r>
        <w:rPr>
          <w:lang w:val="en-US"/>
        </w:rPr>
        <w:t xml:space="preserve">Cooperation with other INTOSAI and non-INTOSAI </w:t>
      </w:r>
      <w:r w:rsidR="007A60E4">
        <w:rPr>
          <w:lang w:val="en-US"/>
        </w:rPr>
        <w:t>b</w:t>
      </w:r>
      <w:r>
        <w:rPr>
          <w:lang w:val="en-US"/>
        </w:rPr>
        <w:t>odies</w:t>
      </w:r>
    </w:p>
    <w:p w14:paraId="7DDAE350" w14:textId="7918F81A" w:rsidR="00E91EE5" w:rsidRDefault="00B06329" w:rsidP="00E91EE5">
      <w:pPr>
        <w:rPr>
          <w:lang w:val="en-US"/>
        </w:rPr>
      </w:pPr>
      <w:r>
        <w:rPr>
          <w:lang w:val="en-US"/>
        </w:rPr>
        <w:t>To</w:t>
      </w:r>
      <w:r w:rsidR="00E91EE5">
        <w:rPr>
          <w:lang w:val="en-US"/>
        </w:rPr>
        <w:t xml:space="preserve"> promote SAI capacity development, the CBC</w:t>
      </w:r>
      <w:r w:rsidR="00E91EE5" w:rsidRPr="005E4B6D">
        <w:rPr>
          <w:lang w:val="en-US"/>
        </w:rPr>
        <w:t xml:space="preserve"> </w:t>
      </w:r>
      <w:r w:rsidR="00867BC2">
        <w:rPr>
          <w:lang w:val="en-US"/>
        </w:rPr>
        <w:t>workstream</w:t>
      </w:r>
      <w:r w:rsidR="00E91EE5">
        <w:rPr>
          <w:lang w:val="en-US"/>
        </w:rPr>
        <w:t>s may work</w:t>
      </w:r>
      <w:r w:rsidR="00E91EE5" w:rsidRPr="005E4B6D">
        <w:rPr>
          <w:lang w:val="en-US"/>
        </w:rPr>
        <w:t xml:space="preserve"> with other INTOSAI </w:t>
      </w:r>
      <w:r w:rsidR="00E91EE5">
        <w:rPr>
          <w:lang w:val="en-US"/>
        </w:rPr>
        <w:t>bodies, such as the subcommittees, working groups and project groups of the INTOSAI Professional Standards Committee and Knowledge Sharing Committee. They may also work with the</w:t>
      </w:r>
      <w:r w:rsidR="00E91EE5" w:rsidRPr="005E4B6D">
        <w:rPr>
          <w:lang w:val="en-US"/>
        </w:rPr>
        <w:t xml:space="preserve"> INTOSAI regional organizations, </w:t>
      </w:r>
      <w:r w:rsidR="00867BC2">
        <w:rPr>
          <w:lang w:val="en-US"/>
        </w:rPr>
        <w:t xml:space="preserve">the INTOSAI Development Initiative (IDI) </w:t>
      </w:r>
      <w:r w:rsidR="00E91EE5" w:rsidRPr="005E4B6D">
        <w:rPr>
          <w:lang w:val="en-US"/>
        </w:rPr>
        <w:t>and others to speak and act in unity i</w:t>
      </w:r>
      <w:r w:rsidR="006014B6">
        <w:rPr>
          <w:lang w:val="en-US"/>
        </w:rPr>
        <w:t xml:space="preserve">n the interest of INTOSAI’s </w:t>
      </w:r>
      <w:r w:rsidR="00E91EE5" w:rsidRPr="005E4B6D">
        <w:rPr>
          <w:lang w:val="en-US"/>
        </w:rPr>
        <w:t>capacity development efforts.</w:t>
      </w:r>
      <w:r w:rsidR="00C7564D">
        <w:rPr>
          <w:lang w:val="en-US"/>
        </w:rPr>
        <w:t xml:space="preserve"> In this regard, the key role-players in the 2023 -2025 INTOSAI goal 2 operational </w:t>
      </w:r>
      <w:proofErr w:type="gramStart"/>
      <w:r w:rsidR="00C7564D">
        <w:rPr>
          <w:lang w:val="en-US"/>
        </w:rPr>
        <w:t>plan</w:t>
      </w:r>
      <w:proofErr w:type="gramEnd"/>
      <w:r w:rsidR="009D2BCD">
        <w:rPr>
          <w:lang w:val="en-US"/>
        </w:rPr>
        <w:t>, serve as a baseline indicator.</w:t>
      </w:r>
    </w:p>
    <w:p w14:paraId="514F63C8" w14:textId="566ECE27" w:rsidR="00E91EE5" w:rsidRPr="008A213F" w:rsidRDefault="00E91EE5" w:rsidP="00E91EE5">
      <w:pPr>
        <w:rPr>
          <w:iCs/>
          <w:lang w:val="en-US"/>
        </w:rPr>
      </w:pPr>
      <w:r w:rsidRPr="05BD72AA">
        <w:rPr>
          <w:lang w:val="en-US"/>
        </w:rPr>
        <w:t xml:space="preserve">CBC </w:t>
      </w:r>
      <w:r w:rsidR="00867BC2" w:rsidRPr="05BD72AA">
        <w:rPr>
          <w:lang w:val="en-US"/>
        </w:rPr>
        <w:t>workstream</w:t>
      </w:r>
      <w:r w:rsidRPr="05BD72AA">
        <w:rPr>
          <w:lang w:val="en-US"/>
        </w:rPr>
        <w:t xml:space="preserve">s may also cooperate with non-INTOSAI bodies </w:t>
      </w:r>
      <w:r w:rsidR="00B06329" w:rsidRPr="05BD72AA">
        <w:rPr>
          <w:lang w:val="en-US"/>
        </w:rPr>
        <w:t>to</w:t>
      </w:r>
      <w:r w:rsidRPr="05BD72AA">
        <w:rPr>
          <w:lang w:val="en-US"/>
        </w:rPr>
        <w:t xml:space="preserve"> further SAI capacity development. Such cooperation is </w:t>
      </w:r>
      <w:r w:rsidR="006014B6">
        <w:rPr>
          <w:lang w:val="en-US"/>
        </w:rPr>
        <w:t>done in consultation with the CBC Secretariat</w:t>
      </w:r>
      <w:r w:rsidRPr="05BD72AA">
        <w:rPr>
          <w:lang w:val="en-US"/>
        </w:rPr>
        <w:t>.</w:t>
      </w:r>
    </w:p>
    <w:p w14:paraId="02093AEB" w14:textId="6CE15294" w:rsidR="00E60799" w:rsidRPr="00E60799" w:rsidRDefault="00E60799" w:rsidP="00E60799">
      <w:pPr>
        <w:rPr>
          <w:i/>
          <w:highlight w:val="yellow"/>
          <w:lang w:val="en-ZA"/>
        </w:rPr>
      </w:pPr>
      <w:r w:rsidRPr="008A213F">
        <w:rPr>
          <w:iCs/>
          <w:lang w:val="en-ZA"/>
        </w:rPr>
        <w:t>This Task Force specifically aims to cooperate with the I</w:t>
      </w:r>
      <w:r w:rsidR="00BA508B">
        <w:rPr>
          <w:iCs/>
          <w:lang w:val="en-ZA"/>
        </w:rPr>
        <w:t>FAC</w:t>
      </w:r>
      <w:r w:rsidR="00931EF5" w:rsidRPr="008A213F">
        <w:rPr>
          <w:iCs/>
          <w:lang w:val="en-ZA"/>
        </w:rPr>
        <w:t xml:space="preserve"> and its committees and panels that deals with accountant / auditor education</w:t>
      </w:r>
      <w:r w:rsidRPr="008A213F">
        <w:rPr>
          <w:iCs/>
          <w:lang w:val="en-ZA"/>
        </w:rPr>
        <w:t xml:space="preserve">; the </w:t>
      </w:r>
      <w:r w:rsidR="00BA508B">
        <w:rPr>
          <w:iCs/>
          <w:lang w:val="en-ZA"/>
        </w:rPr>
        <w:t>IIA</w:t>
      </w:r>
      <w:r w:rsidR="00DA2819">
        <w:rPr>
          <w:iCs/>
          <w:lang w:val="en-ZA"/>
        </w:rPr>
        <w:t>;</w:t>
      </w:r>
      <w:r w:rsidR="004544E7">
        <w:rPr>
          <w:iCs/>
          <w:lang w:val="en-ZA"/>
        </w:rPr>
        <w:t xml:space="preserve"> </w:t>
      </w:r>
      <w:r w:rsidR="00BA508B">
        <w:rPr>
          <w:iCs/>
          <w:lang w:val="en-ZA"/>
        </w:rPr>
        <w:t>p</w:t>
      </w:r>
      <w:r w:rsidR="0027499A" w:rsidRPr="008A213F">
        <w:rPr>
          <w:iCs/>
          <w:lang w:val="en-ZA"/>
        </w:rPr>
        <w:t xml:space="preserve">rofessional accounting organisations (PAOs) </w:t>
      </w:r>
      <w:r w:rsidR="00DA2819">
        <w:rPr>
          <w:iCs/>
          <w:lang w:val="en-ZA"/>
        </w:rPr>
        <w:t xml:space="preserve">and academia </w:t>
      </w:r>
      <w:r w:rsidR="008A213F" w:rsidRPr="008A213F">
        <w:rPr>
          <w:iCs/>
          <w:lang w:val="en-ZA"/>
        </w:rPr>
        <w:t>to</w:t>
      </w:r>
      <w:r w:rsidRPr="008A213F">
        <w:rPr>
          <w:iCs/>
          <w:lang w:val="en-ZA"/>
        </w:rPr>
        <w:t xml:space="preserve"> forg</w:t>
      </w:r>
      <w:r w:rsidR="008A213F" w:rsidRPr="008A213F">
        <w:rPr>
          <w:iCs/>
          <w:lang w:val="en-ZA"/>
        </w:rPr>
        <w:t>e</w:t>
      </w:r>
      <w:r w:rsidRPr="008A213F">
        <w:rPr>
          <w:iCs/>
          <w:lang w:val="en-ZA"/>
        </w:rPr>
        <w:t xml:space="preserve"> appropriate relationships with </w:t>
      </w:r>
      <w:r w:rsidR="00B22FE6">
        <w:rPr>
          <w:iCs/>
          <w:lang w:val="en-ZA"/>
        </w:rPr>
        <w:t xml:space="preserve">the </w:t>
      </w:r>
      <w:r w:rsidRPr="008A213F">
        <w:rPr>
          <w:iCs/>
          <w:lang w:val="en-ZA"/>
        </w:rPr>
        <w:t xml:space="preserve">broader international accounting and auditing community on work relating to auditor education, </w:t>
      </w:r>
      <w:proofErr w:type="gramStart"/>
      <w:r w:rsidRPr="008A213F">
        <w:rPr>
          <w:iCs/>
          <w:lang w:val="en-ZA"/>
        </w:rPr>
        <w:t>training</w:t>
      </w:r>
      <w:proofErr w:type="gramEnd"/>
      <w:r w:rsidRPr="008A213F">
        <w:rPr>
          <w:iCs/>
          <w:lang w:val="en-ZA"/>
        </w:rPr>
        <w:t xml:space="preserve"> and capacity development.</w:t>
      </w:r>
      <w:r w:rsidRPr="00E60799">
        <w:rPr>
          <w:i/>
          <w:highlight w:val="yellow"/>
          <w:lang w:val="en-ZA"/>
        </w:rPr>
        <w:t xml:space="preserve">  </w:t>
      </w:r>
    </w:p>
    <w:p w14:paraId="2448EA31" w14:textId="77777777" w:rsidR="00E91EE5" w:rsidRDefault="00E91EE5" w:rsidP="00E91EE5">
      <w:pPr>
        <w:pStyle w:val="Heading2"/>
        <w:rPr>
          <w:lang w:val="en-US"/>
        </w:rPr>
      </w:pPr>
      <w:r>
        <w:rPr>
          <w:lang w:val="en-US"/>
        </w:rPr>
        <w:t>Working language</w:t>
      </w:r>
    </w:p>
    <w:p w14:paraId="1C4D1E5D" w14:textId="77777777" w:rsidR="00E91EE5" w:rsidRDefault="00E91EE5" w:rsidP="00E91EE5">
      <w:pPr>
        <w:rPr>
          <w:lang w:val="en-US"/>
        </w:rPr>
      </w:pPr>
      <w:r>
        <w:rPr>
          <w:lang w:val="en-US"/>
        </w:rPr>
        <w:t>English is the working language of the CBC and thus also of th</w:t>
      </w:r>
      <w:r w:rsidR="00867BC2">
        <w:rPr>
          <w:lang w:val="en-US"/>
        </w:rPr>
        <w:t>e workstream</w:t>
      </w:r>
      <w:r w:rsidR="00A17CBF">
        <w:rPr>
          <w:lang w:val="en-US"/>
        </w:rPr>
        <w:t>s</w:t>
      </w:r>
      <w:r>
        <w:rPr>
          <w:lang w:val="en-US"/>
        </w:rPr>
        <w:t xml:space="preserve">. All meetings are held in English and all communication and documents are developed and </w:t>
      </w:r>
      <w:r w:rsidR="008D0D2F">
        <w:rPr>
          <w:lang w:val="en-US"/>
        </w:rPr>
        <w:t xml:space="preserve">shared </w:t>
      </w:r>
      <w:r>
        <w:rPr>
          <w:lang w:val="en-US"/>
        </w:rPr>
        <w:t xml:space="preserve">in English. </w:t>
      </w:r>
    </w:p>
    <w:p w14:paraId="559290FA" w14:textId="77777777" w:rsidR="00E91EE5" w:rsidRDefault="00E91EE5" w:rsidP="00E91EE5">
      <w:pPr>
        <w:pStyle w:val="Heading2"/>
        <w:rPr>
          <w:lang w:val="en-US"/>
        </w:rPr>
      </w:pPr>
      <w:r>
        <w:rPr>
          <w:lang w:val="en-US"/>
        </w:rPr>
        <w:t xml:space="preserve">Meetings, communication, </w:t>
      </w:r>
      <w:proofErr w:type="gramStart"/>
      <w:r>
        <w:rPr>
          <w:lang w:val="en-US"/>
        </w:rPr>
        <w:t>publication</w:t>
      </w:r>
      <w:proofErr w:type="gramEnd"/>
      <w:r>
        <w:rPr>
          <w:lang w:val="en-US"/>
        </w:rPr>
        <w:t xml:space="preserve"> and distribution of products</w:t>
      </w:r>
    </w:p>
    <w:p w14:paraId="4B8A6438" w14:textId="0457B06B" w:rsidR="00E91EE5" w:rsidRPr="00376998" w:rsidRDefault="00E60799" w:rsidP="00B756A3">
      <w:pPr>
        <w:rPr>
          <w:color w:val="00B050"/>
          <w:u w:val="single"/>
          <w:lang w:val="en-US"/>
        </w:rPr>
      </w:pPr>
      <w:r w:rsidRPr="00A87A79">
        <w:rPr>
          <w:lang w:val="en-ZA"/>
        </w:rPr>
        <w:t>The Task Force</w:t>
      </w:r>
      <w:r w:rsidRPr="005C36FE">
        <w:rPr>
          <w:i/>
          <w:lang w:val="en-ZA"/>
        </w:rPr>
        <w:t xml:space="preserve"> </w:t>
      </w:r>
      <w:r w:rsidR="00867BC2">
        <w:rPr>
          <w:lang w:val="en-US"/>
        </w:rPr>
        <w:t>may meet</w:t>
      </w:r>
      <w:r w:rsidR="00E91EE5">
        <w:rPr>
          <w:lang w:val="en-US"/>
        </w:rPr>
        <w:t xml:space="preserve"> physically in connection with the CBC </w:t>
      </w:r>
      <w:r w:rsidR="006207F8">
        <w:rPr>
          <w:lang w:val="en-US"/>
        </w:rPr>
        <w:t>annual meeting</w:t>
      </w:r>
      <w:r w:rsidR="00E91EE5">
        <w:rPr>
          <w:lang w:val="en-US"/>
        </w:rPr>
        <w:t xml:space="preserve"> and</w:t>
      </w:r>
      <w:r w:rsidR="00E91EE5" w:rsidRPr="002E49C5">
        <w:rPr>
          <w:iCs/>
          <w:color w:val="000000" w:themeColor="text1"/>
          <w:lang w:val="en-US"/>
        </w:rPr>
        <w:t xml:space="preserve"> otherwise meet</w:t>
      </w:r>
      <w:r w:rsidR="00867BC2" w:rsidRPr="002E49C5">
        <w:rPr>
          <w:iCs/>
          <w:color w:val="000000" w:themeColor="text1"/>
          <w:lang w:val="en-US"/>
        </w:rPr>
        <w:t>s</w:t>
      </w:r>
      <w:r w:rsidR="00E91EE5" w:rsidRPr="002E49C5">
        <w:rPr>
          <w:iCs/>
          <w:color w:val="000000" w:themeColor="text1"/>
          <w:lang w:val="en-US"/>
        </w:rPr>
        <w:t xml:space="preserve"> via video conference</w:t>
      </w:r>
      <w:r w:rsidR="002E49C5">
        <w:rPr>
          <w:iCs/>
          <w:color w:val="000000" w:themeColor="text1"/>
          <w:lang w:val="en-US"/>
        </w:rPr>
        <w:t xml:space="preserve"> on a needs</w:t>
      </w:r>
      <w:r w:rsidR="006374AD">
        <w:rPr>
          <w:iCs/>
          <w:color w:val="000000" w:themeColor="text1"/>
          <w:lang w:val="en-US"/>
        </w:rPr>
        <w:t>-driven</w:t>
      </w:r>
      <w:r w:rsidR="002E49C5">
        <w:rPr>
          <w:iCs/>
          <w:color w:val="000000" w:themeColor="text1"/>
          <w:lang w:val="en-US"/>
        </w:rPr>
        <w:t xml:space="preserve"> basis</w:t>
      </w:r>
      <w:r w:rsidR="006374AD">
        <w:rPr>
          <w:iCs/>
          <w:color w:val="000000" w:themeColor="text1"/>
          <w:lang w:val="en-US"/>
        </w:rPr>
        <w:t>.</w:t>
      </w:r>
    </w:p>
    <w:p w14:paraId="173386CC" w14:textId="11420791" w:rsidR="00E91EE5" w:rsidRDefault="00E91EE5" w:rsidP="00E91EE5">
      <w:pPr>
        <w:rPr>
          <w:lang w:val="en-US"/>
        </w:rPr>
      </w:pPr>
      <w:r w:rsidRPr="0052011D">
        <w:rPr>
          <w:lang w:val="en-US"/>
        </w:rPr>
        <w:t xml:space="preserve">This </w:t>
      </w:r>
      <w:r w:rsidR="00867BC2" w:rsidRPr="0052011D">
        <w:rPr>
          <w:lang w:val="en-US"/>
        </w:rPr>
        <w:t>workstream</w:t>
      </w:r>
      <w:r w:rsidRPr="0052011D">
        <w:rPr>
          <w:lang w:val="en-US"/>
        </w:rPr>
        <w:t xml:space="preserve"> primarily communicates news, updates and completed products via the CBC</w:t>
      </w:r>
      <w:r>
        <w:rPr>
          <w:lang w:val="en-US"/>
        </w:rPr>
        <w:t xml:space="preserve"> website (</w:t>
      </w:r>
      <w:hyperlink r:id="rId13" w:history="1">
        <w:r w:rsidR="00932C5E" w:rsidRPr="00656F09">
          <w:rPr>
            <w:rStyle w:val="Hyperlink"/>
            <w:lang w:val="en-US"/>
          </w:rPr>
          <w:t>www.intosaicbc.org</w:t>
        </w:r>
      </w:hyperlink>
      <w:r>
        <w:rPr>
          <w:lang w:val="en-US"/>
        </w:rPr>
        <w:t xml:space="preserve">), where we have our own page. </w:t>
      </w:r>
    </w:p>
    <w:p w14:paraId="2EC6FA68" w14:textId="77777777" w:rsidR="00E91EE5" w:rsidRDefault="00E91EE5" w:rsidP="00E91EE5">
      <w:pPr>
        <w:rPr>
          <w:lang w:val="en-US"/>
        </w:rPr>
      </w:pPr>
      <w:r>
        <w:rPr>
          <w:lang w:val="en-US"/>
        </w:rPr>
        <w:lastRenderedPageBreak/>
        <w:t xml:space="preserve">Insofar as this </w:t>
      </w:r>
      <w:r w:rsidR="00867BC2">
        <w:rPr>
          <w:lang w:val="en-US"/>
        </w:rPr>
        <w:t>workstream</w:t>
      </w:r>
      <w:r>
        <w:rPr>
          <w:lang w:val="en-US"/>
        </w:rPr>
        <w:t xml:space="preserve"> produces standards or guidance to be included in the INTOSAI Framework for Professional Pronouncements, the INTOSAI due process will be followed. The production and publication of other products and documents will follow the appropriate INTOSAI and/or CBC guidance. </w:t>
      </w:r>
    </w:p>
    <w:p w14:paraId="22812766" w14:textId="77777777" w:rsidR="00E91EE5" w:rsidRDefault="00E91EE5" w:rsidP="00E91EE5">
      <w:pPr>
        <w:rPr>
          <w:lang w:val="en-US"/>
        </w:rPr>
      </w:pPr>
      <w:r>
        <w:rPr>
          <w:lang w:val="en-US"/>
        </w:rPr>
        <w:t xml:space="preserve">The </w:t>
      </w:r>
      <w:r w:rsidR="00867BC2">
        <w:rPr>
          <w:lang w:val="en-US"/>
        </w:rPr>
        <w:t>workstream</w:t>
      </w:r>
      <w:r>
        <w:rPr>
          <w:lang w:val="en-US"/>
        </w:rPr>
        <w:t xml:space="preserve"> will meet</w:t>
      </w:r>
      <w:r w:rsidRPr="00AF4B82">
        <w:rPr>
          <w:lang w:val="en-US"/>
        </w:rPr>
        <w:t xml:space="preserve"> any INTOSAI translation requirements of formal products and documents</w:t>
      </w:r>
      <w:r>
        <w:rPr>
          <w:lang w:val="en-US"/>
        </w:rPr>
        <w:t>.</w:t>
      </w:r>
      <w:r w:rsidRPr="00AF4B82">
        <w:rPr>
          <w:lang w:val="en-US"/>
        </w:rPr>
        <w:t xml:space="preserve"> </w:t>
      </w:r>
    </w:p>
    <w:p w14:paraId="4FD12FB2" w14:textId="77777777" w:rsidR="00E91EE5" w:rsidRDefault="00E91EE5" w:rsidP="00E91EE5">
      <w:pPr>
        <w:pStyle w:val="Heading2"/>
        <w:rPr>
          <w:lang w:val="en-US"/>
        </w:rPr>
      </w:pPr>
      <w:r>
        <w:rPr>
          <w:lang w:val="en-US"/>
        </w:rPr>
        <w:t>Reporting</w:t>
      </w:r>
    </w:p>
    <w:p w14:paraId="271FAFFC" w14:textId="77777777" w:rsidR="00E91EE5" w:rsidRDefault="00E91EE5" w:rsidP="00E91EE5">
      <w:pPr>
        <w:rPr>
          <w:color w:val="000000"/>
        </w:rPr>
      </w:pPr>
      <w:r>
        <w:t xml:space="preserve">The </w:t>
      </w:r>
      <w:r w:rsidR="00867BC2">
        <w:t>workstream</w:t>
      </w:r>
      <w:r w:rsidRPr="00A024D1">
        <w:t xml:space="preserve"> </w:t>
      </w:r>
      <w:r>
        <w:t>chair</w:t>
      </w:r>
      <w:r w:rsidRPr="00A024D1">
        <w:t xml:space="preserve"> </w:t>
      </w:r>
      <w:r>
        <w:t>repor</w:t>
      </w:r>
      <w:r w:rsidRPr="006A22FF">
        <w:rPr>
          <w:color w:val="000000"/>
        </w:rPr>
        <w:t>t</w:t>
      </w:r>
      <w:r>
        <w:rPr>
          <w:color w:val="000000"/>
        </w:rPr>
        <w:t>s</w:t>
      </w:r>
      <w:r w:rsidRPr="006A22FF">
        <w:rPr>
          <w:color w:val="000000"/>
        </w:rPr>
        <w:t xml:space="preserve"> to the </w:t>
      </w:r>
      <w:r>
        <w:rPr>
          <w:color w:val="000000"/>
        </w:rPr>
        <w:t>CBC</w:t>
      </w:r>
      <w:r w:rsidRPr="006A22FF">
        <w:rPr>
          <w:color w:val="000000"/>
        </w:rPr>
        <w:t xml:space="preserve"> </w:t>
      </w:r>
      <w:r>
        <w:rPr>
          <w:color w:val="000000"/>
        </w:rPr>
        <w:t>Steering Committee</w:t>
      </w:r>
      <w:r w:rsidRPr="006A22FF">
        <w:rPr>
          <w:color w:val="000000"/>
        </w:rPr>
        <w:t xml:space="preserve"> on the </w:t>
      </w:r>
      <w:r>
        <w:rPr>
          <w:color w:val="000000"/>
        </w:rPr>
        <w:t xml:space="preserve">progress of the </w:t>
      </w:r>
      <w:r w:rsidR="00867BC2">
        <w:rPr>
          <w:color w:val="000000"/>
        </w:rPr>
        <w:t>workstream</w:t>
      </w:r>
      <w:r>
        <w:rPr>
          <w:color w:val="000000"/>
        </w:rPr>
        <w:t xml:space="preserve"> at the CBC </w:t>
      </w:r>
      <w:r w:rsidR="00013F59">
        <w:rPr>
          <w:color w:val="000000"/>
        </w:rPr>
        <w:t>a</w:t>
      </w:r>
      <w:r>
        <w:rPr>
          <w:color w:val="000000"/>
        </w:rPr>
        <w:t xml:space="preserve">nnual </w:t>
      </w:r>
      <w:r w:rsidR="00013F59">
        <w:rPr>
          <w:color w:val="000000"/>
        </w:rPr>
        <w:t>m</w:t>
      </w:r>
      <w:r>
        <w:rPr>
          <w:color w:val="000000"/>
        </w:rPr>
        <w:t xml:space="preserve">eeting, and to the CBC leadership as requested </w:t>
      </w:r>
      <w:proofErr w:type="gramStart"/>
      <w:r>
        <w:rPr>
          <w:color w:val="000000"/>
        </w:rPr>
        <w:t>and in the format</w:t>
      </w:r>
      <w:proofErr w:type="gramEnd"/>
      <w:r>
        <w:rPr>
          <w:color w:val="000000"/>
        </w:rPr>
        <w:t xml:space="preserve"> provided</w:t>
      </w:r>
      <w:r w:rsidRPr="006A22FF">
        <w:rPr>
          <w:color w:val="000000"/>
        </w:rPr>
        <w:t xml:space="preserve">. </w:t>
      </w:r>
    </w:p>
    <w:p w14:paraId="05AF14BE" w14:textId="77777777" w:rsidR="00E91EE5" w:rsidRPr="00A024D1" w:rsidRDefault="00E91EE5" w:rsidP="00E91EE5">
      <w:r>
        <w:rPr>
          <w:color w:val="000000"/>
        </w:rPr>
        <w:t xml:space="preserve">In addition, the </w:t>
      </w:r>
      <w:r w:rsidR="00867BC2">
        <w:rPr>
          <w:color w:val="000000"/>
        </w:rPr>
        <w:t>workstream</w:t>
      </w:r>
      <w:r>
        <w:rPr>
          <w:color w:val="000000"/>
        </w:rPr>
        <w:t xml:space="preserve"> chair</w:t>
      </w:r>
      <w:r w:rsidRPr="006A22FF">
        <w:rPr>
          <w:color w:val="000000"/>
        </w:rPr>
        <w:t xml:space="preserve"> </w:t>
      </w:r>
      <w:r>
        <w:rPr>
          <w:color w:val="000000"/>
        </w:rPr>
        <w:t>may be asked to</w:t>
      </w:r>
      <w:r w:rsidRPr="006A22FF">
        <w:rPr>
          <w:color w:val="000000"/>
        </w:rPr>
        <w:t xml:space="preserve"> report directly to the Governing Board</w:t>
      </w:r>
      <w:r>
        <w:rPr>
          <w:color w:val="000000"/>
        </w:rPr>
        <w:t xml:space="preserve"> and Congress to present specific results or products, such as standards or guidance to be included in the INTOSAI Framework for Professional Pronouncements</w:t>
      </w:r>
      <w:r w:rsidRPr="006A22FF">
        <w:rPr>
          <w:color w:val="000000"/>
        </w:rPr>
        <w:t>.</w:t>
      </w:r>
    </w:p>
    <w:p w14:paraId="28BB675C" w14:textId="77777777" w:rsidR="00BD4EC9" w:rsidRDefault="00BD4EC9" w:rsidP="00BD4EC9">
      <w:pPr>
        <w:pStyle w:val="Heading2"/>
        <w:rPr>
          <w:lang w:val="en-US"/>
        </w:rPr>
      </w:pPr>
      <w:r>
        <w:rPr>
          <w:lang w:val="en-US"/>
        </w:rPr>
        <w:t>Funding</w:t>
      </w:r>
    </w:p>
    <w:p w14:paraId="3878FFF3" w14:textId="77777777" w:rsidR="00BD4EC9" w:rsidRDefault="00BD4EC9" w:rsidP="00BD4EC9">
      <w:pPr>
        <w:rPr>
          <w:lang w:val="en-US"/>
        </w:rPr>
      </w:pPr>
      <w:r>
        <w:rPr>
          <w:lang w:val="en-US"/>
        </w:rPr>
        <w:t>The CBC primarily operates based on in-kind contributions from the participating member organizations, observers</w:t>
      </w:r>
      <w:r w:rsidR="00595868">
        <w:rPr>
          <w:lang w:val="en-US"/>
        </w:rPr>
        <w:t>,</w:t>
      </w:r>
      <w:r>
        <w:rPr>
          <w:lang w:val="en-US"/>
        </w:rPr>
        <w:t xml:space="preserve"> and stakeholders. Such contributions may include time spent by management and staff on CBC matters when leading or participating in CBC </w:t>
      </w:r>
      <w:r w:rsidR="00867BC2">
        <w:rPr>
          <w:lang w:val="en-US"/>
        </w:rPr>
        <w:t>workstream</w:t>
      </w:r>
      <w:r>
        <w:rPr>
          <w:lang w:val="en-US"/>
        </w:rPr>
        <w:t xml:space="preserve">s or other initiatives, hosting of meetings, translating CBC documents to other languages etc. </w:t>
      </w:r>
    </w:p>
    <w:p w14:paraId="14FFEAB7" w14:textId="77777777" w:rsidR="005518BD" w:rsidRDefault="005518BD" w:rsidP="00BD4EC9">
      <w:pPr>
        <w:rPr>
          <w:lang w:val="en-US"/>
        </w:rPr>
      </w:pPr>
      <w:r>
        <w:rPr>
          <w:lang w:val="en-US"/>
        </w:rPr>
        <w:t xml:space="preserve">The CBC has access to some of INTOSAI’s resources and workstreams may </w:t>
      </w:r>
      <w:r w:rsidR="00EC4DC6">
        <w:rPr>
          <w:lang w:val="en-US"/>
        </w:rPr>
        <w:t xml:space="preserve">request access to these funds to support their initiatives. </w:t>
      </w:r>
    </w:p>
    <w:p w14:paraId="38DC355D" w14:textId="2B9A63DD" w:rsidR="00BD4EC9" w:rsidRPr="002C25E9" w:rsidRDefault="00BD4EC9" w:rsidP="00BD4EC9">
      <w:pPr>
        <w:rPr>
          <w:lang w:val="en-US"/>
        </w:rPr>
      </w:pPr>
      <w:r>
        <w:rPr>
          <w:lang w:val="en-US"/>
        </w:rPr>
        <w:t xml:space="preserve">The CBC </w:t>
      </w:r>
      <w:r w:rsidR="00867BC2">
        <w:rPr>
          <w:lang w:val="en-US"/>
        </w:rPr>
        <w:t>workstream</w:t>
      </w:r>
      <w:r>
        <w:rPr>
          <w:lang w:val="en-US"/>
        </w:rPr>
        <w:t xml:space="preserve"> may seek funding from external parties to support its work. Any such funding is sought in accordance with the INTOSAI Handbook for Committees’ Independence Guidance</w:t>
      </w:r>
      <w:r>
        <w:rPr>
          <w:rStyle w:val="FootnoteReference"/>
          <w:lang w:val="en-US"/>
        </w:rPr>
        <w:footnoteReference w:id="3"/>
      </w:r>
      <w:r>
        <w:rPr>
          <w:lang w:val="en-US"/>
        </w:rPr>
        <w:t xml:space="preserve"> and only after </w:t>
      </w:r>
      <w:r w:rsidR="0052011D">
        <w:rPr>
          <w:lang w:val="en-US"/>
        </w:rPr>
        <w:t>consultation</w:t>
      </w:r>
      <w:r>
        <w:rPr>
          <w:lang w:val="en-US"/>
        </w:rPr>
        <w:t xml:space="preserve"> with the CBC leadership.  </w:t>
      </w:r>
    </w:p>
    <w:p w14:paraId="72F8042D" w14:textId="77777777" w:rsidR="00BD4EC9" w:rsidRDefault="00BD4EC9" w:rsidP="00BD4EC9">
      <w:pPr>
        <w:pStyle w:val="Heading2"/>
        <w:rPr>
          <w:lang w:val="en-US"/>
        </w:rPr>
      </w:pPr>
      <w:r>
        <w:rPr>
          <w:lang w:val="en-US"/>
        </w:rPr>
        <w:t xml:space="preserve">Dissolution of the </w:t>
      </w:r>
      <w:r w:rsidR="00867BC2">
        <w:rPr>
          <w:lang w:val="en-US"/>
        </w:rPr>
        <w:t>workstream</w:t>
      </w:r>
    </w:p>
    <w:p w14:paraId="2FC538EC" w14:textId="77777777" w:rsidR="00BD4EC9" w:rsidRDefault="00BD4EC9" w:rsidP="00BD4EC9">
      <w:pPr>
        <w:rPr>
          <w:lang w:val="en-US"/>
        </w:rPr>
      </w:pPr>
      <w:r>
        <w:rPr>
          <w:lang w:val="en-US"/>
        </w:rPr>
        <w:t>The</w:t>
      </w:r>
      <w:r w:rsidRPr="004923C6">
        <w:rPr>
          <w:lang w:val="en-US"/>
        </w:rPr>
        <w:t xml:space="preserve"> </w:t>
      </w:r>
      <w:r w:rsidR="00867BC2">
        <w:rPr>
          <w:lang w:val="en-US"/>
        </w:rPr>
        <w:t>workstream</w:t>
      </w:r>
      <w:r w:rsidRPr="004923C6">
        <w:rPr>
          <w:lang w:val="en-US"/>
        </w:rPr>
        <w:t xml:space="preserve"> may be dissolved at the request of the </w:t>
      </w:r>
      <w:r w:rsidR="00867BC2">
        <w:rPr>
          <w:lang w:val="en-US"/>
        </w:rPr>
        <w:t>workstream</w:t>
      </w:r>
      <w:r w:rsidRPr="004923C6">
        <w:rPr>
          <w:lang w:val="en-US"/>
        </w:rPr>
        <w:t xml:space="preserve"> or on completion of the expected products and outcomes</w:t>
      </w:r>
      <w:r>
        <w:rPr>
          <w:lang w:val="en-US"/>
        </w:rPr>
        <w:t xml:space="preserve">. Moreover, the CBC </w:t>
      </w:r>
      <w:r w:rsidR="00DE4EE1">
        <w:rPr>
          <w:lang w:val="en-US"/>
        </w:rPr>
        <w:t>S</w:t>
      </w:r>
      <w:r>
        <w:rPr>
          <w:lang w:val="en-US"/>
        </w:rPr>
        <w:t xml:space="preserve">teering </w:t>
      </w:r>
      <w:r w:rsidR="00DE4EE1">
        <w:rPr>
          <w:lang w:val="en-US"/>
        </w:rPr>
        <w:t>C</w:t>
      </w:r>
      <w:r>
        <w:rPr>
          <w:lang w:val="en-US"/>
        </w:rPr>
        <w:t>ommittee</w:t>
      </w:r>
      <w:r w:rsidRPr="004923C6">
        <w:rPr>
          <w:lang w:val="en-US"/>
        </w:rPr>
        <w:t xml:space="preserve"> may decide to resolve a </w:t>
      </w:r>
      <w:r w:rsidR="00867BC2">
        <w:rPr>
          <w:lang w:val="en-US"/>
        </w:rPr>
        <w:t>workstream</w:t>
      </w:r>
      <w:r w:rsidRPr="004923C6">
        <w:rPr>
          <w:lang w:val="en-US"/>
        </w:rPr>
        <w:t xml:space="preserve"> based on a well-founded </w:t>
      </w:r>
      <w:r>
        <w:rPr>
          <w:lang w:val="en-US"/>
        </w:rPr>
        <w:t>proposal</w:t>
      </w:r>
      <w:r w:rsidRPr="004923C6">
        <w:rPr>
          <w:lang w:val="en-US"/>
        </w:rPr>
        <w:t xml:space="preserve">. </w:t>
      </w:r>
    </w:p>
    <w:p w14:paraId="3C2571E7" w14:textId="77777777" w:rsidR="00BD4EC9" w:rsidRPr="004923C6" w:rsidRDefault="00BD4EC9" w:rsidP="00BD4EC9">
      <w:pPr>
        <w:rPr>
          <w:lang w:val="en-US"/>
        </w:rPr>
      </w:pPr>
      <w:proofErr w:type="gramStart"/>
      <w:r>
        <w:rPr>
          <w:lang w:val="en-US"/>
        </w:rPr>
        <w:lastRenderedPageBreak/>
        <w:t>This terms of reference</w:t>
      </w:r>
      <w:proofErr w:type="gramEnd"/>
      <w:r>
        <w:rPr>
          <w:lang w:val="en-US"/>
        </w:rPr>
        <w:t xml:space="preserve"> will be reviewed and updated in connection with the approval of each new INTOSAI strategic plan, or at the initiative of the </w:t>
      </w:r>
      <w:r w:rsidR="00867BC2">
        <w:rPr>
          <w:lang w:val="en-US"/>
        </w:rPr>
        <w:t>workstream</w:t>
      </w:r>
      <w:r>
        <w:rPr>
          <w:lang w:val="en-US"/>
        </w:rPr>
        <w:t xml:space="preserve"> chair or CBC leadership. </w:t>
      </w:r>
    </w:p>
    <w:p w14:paraId="038F7F4B" w14:textId="77777777" w:rsidR="00E91EE5" w:rsidRPr="00BD4EC9" w:rsidRDefault="00E91EE5" w:rsidP="00591DEE">
      <w:pPr>
        <w:rPr>
          <w:lang w:val="en-US"/>
        </w:rPr>
      </w:pPr>
    </w:p>
    <w:p w14:paraId="0C4C5539" w14:textId="77777777" w:rsidR="001F251C" w:rsidRPr="009A2BE3" w:rsidRDefault="001F251C" w:rsidP="007E5C11"/>
    <w:sectPr w:rsidR="001F251C" w:rsidRPr="009A2BE3" w:rsidSect="003D68B8">
      <w:headerReference w:type="default" r:id="rId14"/>
      <w:footerReference w:type="default" r:id="rId15"/>
      <w:headerReference w:type="first" r:id="rId16"/>
      <w:footerReference w:type="first" r:id="rId17"/>
      <w:pgSz w:w="11906" w:h="16838"/>
      <w:pgMar w:top="1418" w:right="2267" w:bottom="1418" w:left="2268" w:header="851"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32971" w14:textId="77777777" w:rsidR="00602A6C" w:rsidRDefault="00602A6C" w:rsidP="005B453C">
      <w:pPr>
        <w:spacing w:after="0" w:line="240" w:lineRule="auto"/>
      </w:pPr>
      <w:r>
        <w:separator/>
      </w:r>
    </w:p>
  </w:endnote>
  <w:endnote w:type="continuationSeparator" w:id="0">
    <w:p w14:paraId="1BC97F98" w14:textId="77777777" w:rsidR="00602A6C" w:rsidRDefault="00602A6C" w:rsidP="005B453C">
      <w:pPr>
        <w:spacing w:after="0" w:line="240" w:lineRule="auto"/>
      </w:pPr>
      <w:r>
        <w:continuationSeparator/>
      </w:r>
    </w:p>
  </w:endnote>
  <w:endnote w:type="continuationNotice" w:id="1">
    <w:p w14:paraId="0F9778EB" w14:textId="77777777" w:rsidR="00602A6C" w:rsidRDefault="00602A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134AD" w14:textId="5E0C141D" w:rsidR="007F0CC0" w:rsidRDefault="007F0CC0" w:rsidP="007F0CC0">
    <w:pPr>
      <w:pStyle w:val="Footer"/>
      <w:ind w:right="-342"/>
      <w:jc w:val="right"/>
    </w:pPr>
    <w:r>
      <w:fldChar w:fldCharType="begin"/>
    </w:r>
    <w:r>
      <w:instrText xml:space="preserve"> PAGE  \* Arabic  \* MERGEFORMAT </w:instrText>
    </w:r>
    <w:r>
      <w:fldChar w:fldCharType="separate"/>
    </w:r>
    <w:r w:rsidR="00717143">
      <w:rPr>
        <w:noProof/>
      </w:rPr>
      <w:t>4</w:t>
    </w:r>
    <w:r>
      <w:fldChar w:fldCharType="end"/>
    </w:r>
    <w:r>
      <w:t xml:space="preserve"> (</w:t>
    </w:r>
    <w:r w:rsidR="007521BC">
      <w:rPr>
        <w:noProof/>
      </w:rPr>
      <w:fldChar w:fldCharType="begin"/>
    </w:r>
    <w:r w:rsidR="007521BC">
      <w:rPr>
        <w:noProof/>
      </w:rPr>
      <w:instrText xml:space="preserve"> NUMPAGES  \* Arabic  \* MERGEFORMAT </w:instrText>
    </w:r>
    <w:r w:rsidR="007521BC">
      <w:rPr>
        <w:noProof/>
      </w:rPr>
      <w:fldChar w:fldCharType="separate"/>
    </w:r>
    <w:r w:rsidR="00717143">
      <w:rPr>
        <w:noProof/>
      </w:rPr>
      <w:t>5</w:t>
    </w:r>
    <w:r w:rsidR="007521BC">
      <w:rPr>
        <w:noProof/>
      </w:rPr>
      <w:fldChar w:fldCharType="end"/>
    </w:r>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A9CE0" w14:textId="55EB2EE4" w:rsidR="00850185" w:rsidRDefault="00850185" w:rsidP="00850185">
    <w:pPr>
      <w:pStyle w:val="Footer"/>
      <w:ind w:right="-342"/>
      <w:jc w:val="right"/>
    </w:pPr>
    <w:r>
      <w:fldChar w:fldCharType="begin"/>
    </w:r>
    <w:r>
      <w:instrText xml:space="preserve"> PAGE  \* Arabic  \* MERGEFORMAT </w:instrText>
    </w:r>
    <w:r>
      <w:fldChar w:fldCharType="separate"/>
    </w:r>
    <w:r w:rsidR="00717143">
      <w:rPr>
        <w:noProof/>
      </w:rPr>
      <w:t>1</w:t>
    </w:r>
    <w:r>
      <w:fldChar w:fldCharType="end"/>
    </w:r>
    <w:r>
      <w:t xml:space="preserve"> (</w:t>
    </w:r>
    <w:r>
      <w:rPr>
        <w:noProof/>
      </w:rPr>
      <w:fldChar w:fldCharType="begin"/>
    </w:r>
    <w:r>
      <w:rPr>
        <w:noProof/>
      </w:rPr>
      <w:instrText xml:space="preserve"> NUMPAGES  \* Arabic  \* MERGEFORMAT </w:instrText>
    </w:r>
    <w:r>
      <w:rPr>
        <w:noProof/>
      </w:rPr>
      <w:fldChar w:fldCharType="separate"/>
    </w:r>
    <w:r w:rsidR="00717143">
      <w:rPr>
        <w:noProof/>
      </w:rPr>
      <w:t>5</w:t>
    </w:r>
    <w:r>
      <w:rPr>
        <w:noProof/>
      </w:rP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B7CFB" w14:textId="77777777" w:rsidR="00602A6C" w:rsidRDefault="00602A6C" w:rsidP="005B453C">
      <w:pPr>
        <w:spacing w:after="0" w:line="240" w:lineRule="auto"/>
      </w:pPr>
      <w:r>
        <w:separator/>
      </w:r>
    </w:p>
  </w:footnote>
  <w:footnote w:type="continuationSeparator" w:id="0">
    <w:p w14:paraId="140BC92A" w14:textId="77777777" w:rsidR="00602A6C" w:rsidRDefault="00602A6C" w:rsidP="005B453C">
      <w:pPr>
        <w:spacing w:after="0" w:line="240" w:lineRule="auto"/>
      </w:pPr>
      <w:r>
        <w:continuationSeparator/>
      </w:r>
    </w:p>
  </w:footnote>
  <w:footnote w:type="continuationNotice" w:id="1">
    <w:p w14:paraId="2BEA43A4" w14:textId="77777777" w:rsidR="00602A6C" w:rsidRDefault="00602A6C">
      <w:pPr>
        <w:spacing w:after="0" w:line="240" w:lineRule="auto"/>
      </w:pPr>
    </w:p>
  </w:footnote>
  <w:footnote w:id="2">
    <w:p w14:paraId="055AE7A1" w14:textId="77777777" w:rsidR="00C835F4" w:rsidRPr="004B70A5" w:rsidRDefault="00C835F4" w:rsidP="00C835F4">
      <w:pPr>
        <w:pStyle w:val="Footer"/>
        <w:tabs>
          <w:tab w:val="clear" w:pos="9072"/>
          <w:tab w:val="right" w:pos="9026"/>
        </w:tabs>
        <w:ind w:left="0"/>
        <w:rPr>
          <w:szCs w:val="16"/>
        </w:rPr>
      </w:pPr>
      <w:r>
        <w:rPr>
          <w:rStyle w:val="FootnoteReference"/>
        </w:rPr>
        <w:footnoteRef/>
      </w:r>
      <w:r>
        <w:t xml:space="preserve"> </w:t>
      </w:r>
      <w:r w:rsidRPr="004B70A5">
        <w:rPr>
          <w:szCs w:val="16"/>
        </w:rPr>
        <w:t xml:space="preserve">Since ISSAI 150 was the main deliverable of the group and since it is positioned as the key driver of competence management in the IFPP, the TFIAP’s work will remain grounded in ISSAI 150. This does, however, not mean that the work ignores requirements from other standards that deal with competency development, </w:t>
      </w:r>
      <w:proofErr w:type="gramStart"/>
      <w:r w:rsidRPr="004B70A5">
        <w:rPr>
          <w:szCs w:val="16"/>
        </w:rPr>
        <w:t>e.g.</w:t>
      </w:r>
      <w:proofErr w:type="gramEnd"/>
      <w:r w:rsidRPr="004B70A5">
        <w:rPr>
          <w:szCs w:val="16"/>
        </w:rPr>
        <w:t xml:space="preserve"> ISSAI 140 and others.</w:t>
      </w:r>
    </w:p>
    <w:p w14:paraId="080E14F2" w14:textId="0B74B5FA" w:rsidR="00C835F4" w:rsidRPr="00C835F4" w:rsidRDefault="00C835F4">
      <w:pPr>
        <w:pStyle w:val="FootnoteText"/>
        <w:rPr>
          <w:lang w:val="en-US"/>
        </w:rPr>
      </w:pPr>
    </w:p>
  </w:footnote>
  <w:footnote w:id="3">
    <w:p w14:paraId="7755E066" w14:textId="77777777" w:rsidR="00BD4EC9" w:rsidRPr="002C25E9" w:rsidRDefault="00BD4EC9" w:rsidP="00BD4EC9">
      <w:pPr>
        <w:rPr>
          <w:lang w:val="en-US"/>
        </w:rPr>
      </w:pPr>
      <w:r>
        <w:rPr>
          <w:rStyle w:val="FootnoteReference"/>
        </w:rPr>
        <w:footnoteRef/>
      </w:r>
      <w:r w:rsidRPr="002C25E9">
        <w:rPr>
          <w:lang w:val="en-US"/>
        </w:rPr>
        <w:t xml:space="preserve"> </w:t>
      </w:r>
      <w:r w:rsidRPr="002C25E9">
        <w:rPr>
          <w:i/>
          <w:sz w:val="18"/>
          <w:lang w:val="en-US"/>
        </w:rPr>
        <w:t>INTOSAI Handbook for Committees</w:t>
      </w:r>
      <w:r>
        <w:rPr>
          <w:i/>
          <w:sz w:val="18"/>
          <w:lang w:val="en-US"/>
        </w:rPr>
        <w:t xml:space="preserve"> (2014)</w:t>
      </w:r>
      <w:r w:rsidRPr="002C25E9">
        <w:rPr>
          <w:i/>
          <w:sz w:val="18"/>
          <w:lang w:val="en-US"/>
        </w:rPr>
        <w:t xml:space="preserve">, </w:t>
      </w:r>
      <w:r w:rsidRPr="002C25E9">
        <w:rPr>
          <w:sz w:val="18"/>
          <w:lang w:val="en-US"/>
        </w:rPr>
        <w:t>Chapter III.2.5, page 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09EA5" w14:textId="77777777" w:rsidR="003D68B8" w:rsidRDefault="003D68B8" w:rsidP="003D68B8">
    <w:pPr>
      <w:pStyle w:val="Header"/>
      <w:ind w:left="-1358"/>
    </w:pPr>
    <w:r>
      <w:rPr>
        <w:noProof/>
        <w:lang w:val="en-ZA" w:eastAsia="en-ZA"/>
      </w:rPr>
      <w:drawing>
        <wp:inline distT="0" distB="0" distL="0" distR="0" wp14:anchorId="7E3A8300" wp14:editId="25C099C0">
          <wp:extent cx="904875" cy="702403"/>
          <wp:effectExtent l="0" t="0" r="0" b="2540"/>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5573" cy="733994"/>
                  </a:xfrm>
                  <a:prstGeom prst="rect">
                    <a:avLst/>
                  </a:prstGeom>
                  <a:noFill/>
                  <a:ln>
                    <a:noFill/>
                  </a:ln>
                </pic:spPr>
              </pic:pic>
            </a:graphicData>
          </a:graphic>
        </wp:inline>
      </w:drawing>
    </w:r>
  </w:p>
  <w:p w14:paraId="78A2FBC3" w14:textId="77777777" w:rsidR="003D68B8" w:rsidRDefault="003D68B8" w:rsidP="003D68B8">
    <w:pPr>
      <w:pStyle w:val="Header"/>
      <w:ind w:left="-1358"/>
    </w:pPr>
  </w:p>
  <w:p w14:paraId="1FA16BDE" w14:textId="77777777" w:rsidR="003D68B8" w:rsidRDefault="003D68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A34E7" w14:textId="77777777" w:rsidR="00875A90" w:rsidRDefault="001B405A" w:rsidP="00B76CBE">
    <w:pPr>
      <w:pStyle w:val="Header"/>
      <w:ind w:left="-1358"/>
    </w:pPr>
    <w:r>
      <w:rPr>
        <w:noProof/>
        <w:lang w:val="en-ZA" w:eastAsia="en-ZA"/>
      </w:rPr>
      <w:drawing>
        <wp:inline distT="0" distB="0" distL="0" distR="0" wp14:anchorId="68D7333D" wp14:editId="22D598DB">
          <wp:extent cx="1303200" cy="1011600"/>
          <wp:effectExtent l="0" t="0" r="0"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3200" cy="1011600"/>
                  </a:xfrm>
                  <a:prstGeom prst="rect">
                    <a:avLst/>
                  </a:prstGeom>
                  <a:noFill/>
                  <a:ln>
                    <a:noFill/>
                  </a:ln>
                </pic:spPr>
              </pic:pic>
            </a:graphicData>
          </a:graphic>
        </wp:inline>
      </w:drawing>
    </w:r>
  </w:p>
  <w:p w14:paraId="059FC6C5" w14:textId="31B8BBC0" w:rsidR="00B76CBE" w:rsidRDefault="004B3B0F" w:rsidP="00B76CBE">
    <w:pPr>
      <w:pStyle w:val="Header"/>
      <w:ind w:left="-1358"/>
      <w:jc w:val="center"/>
    </w:pPr>
    <w:r>
      <w:t>June</w:t>
    </w:r>
    <w:r w:rsidR="00B76CBE">
      <w:t xml:space="preserve">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DE6A5F6"/>
    <w:lvl w:ilvl="0">
      <w:start w:val="1"/>
      <w:numFmt w:val="bullet"/>
      <w:pStyle w:val="ListBullet"/>
      <w:lvlText w:val=""/>
      <w:lvlJc w:val="left"/>
      <w:pPr>
        <w:ind w:left="360" w:hanging="360"/>
      </w:pPr>
      <w:rPr>
        <w:rFonts w:ascii="Symbol" w:hAnsi="Symbol" w:hint="default"/>
        <w:color w:val="7E79AC" w:themeColor="accent1"/>
      </w:rPr>
    </w:lvl>
  </w:abstractNum>
  <w:abstractNum w:abstractNumId="1" w15:restartNumberingAfterBreak="0">
    <w:nsid w:val="00F30C7C"/>
    <w:multiLevelType w:val="hybridMultilevel"/>
    <w:tmpl w:val="561E586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15:restartNumberingAfterBreak="0">
    <w:nsid w:val="0865353E"/>
    <w:multiLevelType w:val="hybridMultilevel"/>
    <w:tmpl w:val="96F2412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0D082F59"/>
    <w:multiLevelType w:val="hybridMultilevel"/>
    <w:tmpl w:val="3940940A"/>
    <w:lvl w:ilvl="0" w:tplc="C048242A">
      <w:numFmt w:val="bullet"/>
      <w:lvlText w:val="-"/>
      <w:lvlJc w:val="left"/>
      <w:pPr>
        <w:ind w:left="770" w:hanging="360"/>
      </w:pPr>
      <w:rPr>
        <w:rFonts w:ascii="Calibri" w:eastAsiaTheme="minorHAns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3FE33A80"/>
    <w:multiLevelType w:val="hybridMultilevel"/>
    <w:tmpl w:val="F0B4D0CE"/>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 w15:restartNumberingAfterBreak="0">
    <w:nsid w:val="6F136C32"/>
    <w:multiLevelType w:val="hybridMultilevel"/>
    <w:tmpl w:val="EAFE986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1887109359">
    <w:abstractNumId w:val="0"/>
  </w:num>
  <w:num w:numId="2" w16cid:durableId="780882131">
    <w:abstractNumId w:val="4"/>
  </w:num>
  <w:num w:numId="3" w16cid:durableId="1506087160">
    <w:abstractNumId w:val="2"/>
  </w:num>
  <w:num w:numId="4" w16cid:durableId="1632247520">
    <w:abstractNumId w:val="1"/>
  </w:num>
  <w:num w:numId="5" w16cid:durableId="1337922933">
    <w:abstractNumId w:val="5"/>
  </w:num>
  <w:num w:numId="6" w16cid:durableId="13500652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51C"/>
    <w:rsid w:val="00013F59"/>
    <w:rsid w:val="000278E5"/>
    <w:rsid w:val="00030B18"/>
    <w:rsid w:val="00034749"/>
    <w:rsid w:val="00050E71"/>
    <w:rsid w:val="00052A2B"/>
    <w:rsid w:val="00057C67"/>
    <w:rsid w:val="00093343"/>
    <w:rsid w:val="000F16B1"/>
    <w:rsid w:val="000F5184"/>
    <w:rsid w:val="001029CF"/>
    <w:rsid w:val="0010550F"/>
    <w:rsid w:val="0014304F"/>
    <w:rsid w:val="00147133"/>
    <w:rsid w:val="001749B6"/>
    <w:rsid w:val="001863AA"/>
    <w:rsid w:val="00195023"/>
    <w:rsid w:val="001B355D"/>
    <w:rsid w:val="001B405A"/>
    <w:rsid w:val="001C6CAB"/>
    <w:rsid w:val="001D262B"/>
    <w:rsid w:val="001D4137"/>
    <w:rsid w:val="001E3E16"/>
    <w:rsid w:val="001F251C"/>
    <w:rsid w:val="001F4C68"/>
    <w:rsid w:val="00202843"/>
    <w:rsid w:val="00241D53"/>
    <w:rsid w:val="00267C53"/>
    <w:rsid w:val="00273F8F"/>
    <w:rsid w:val="0027499A"/>
    <w:rsid w:val="00292B78"/>
    <w:rsid w:val="002C1DDB"/>
    <w:rsid w:val="002C3427"/>
    <w:rsid w:val="002D1476"/>
    <w:rsid w:val="002D408F"/>
    <w:rsid w:val="002D426C"/>
    <w:rsid w:val="002E49C5"/>
    <w:rsid w:val="002E7D9D"/>
    <w:rsid w:val="00320299"/>
    <w:rsid w:val="00344E79"/>
    <w:rsid w:val="00351FA1"/>
    <w:rsid w:val="00354243"/>
    <w:rsid w:val="003760EE"/>
    <w:rsid w:val="003905BF"/>
    <w:rsid w:val="003A36EA"/>
    <w:rsid w:val="003A6F4B"/>
    <w:rsid w:val="003D4B6E"/>
    <w:rsid w:val="003D68B8"/>
    <w:rsid w:val="003E2011"/>
    <w:rsid w:val="003E7341"/>
    <w:rsid w:val="004030CF"/>
    <w:rsid w:val="0042519B"/>
    <w:rsid w:val="00426732"/>
    <w:rsid w:val="00452BC9"/>
    <w:rsid w:val="004544E7"/>
    <w:rsid w:val="004646BE"/>
    <w:rsid w:val="00465003"/>
    <w:rsid w:val="004667F5"/>
    <w:rsid w:val="0046735E"/>
    <w:rsid w:val="00473B57"/>
    <w:rsid w:val="004812F2"/>
    <w:rsid w:val="004A251F"/>
    <w:rsid w:val="004A39F0"/>
    <w:rsid w:val="004B3B0F"/>
    <w:rsid w:val="004C482A"/>
    <w:rsid w:val="004C4B23"/>
    <w:rsid w:val="004C5ED7"/>
    <w:rsid w:val="004F220B"/>
    <w:rsid w:val="00517113"/>
    <w:rsid w:val="0052011D"/>
    <w:rsid w:val="00523147"/>
    <w:rsid w:val="0052444D"/>
    <w:rsid w:val="005378B7"/>
    <w:rsid w:val="00545630"/>
    <w:rsid w:val="00550659"/>
    <w:rsid w:val="005518BD"/>
    <w:rsid w:val="00552FEE"/>
    <w:rsid w:val="00591DEE"/>
    <w:rsid w:val="00595868"/>
    <w:rsid w:val="005B453C"/>
    <w:rsid w:val="005B777F"/>
    <w:rsid w:val="005D0473"/>
    <w:rsid w:val="005F7B77"/>
    <w:rsid w:val="006014B6"/>
    <w:rsid w:val="00602A6C"/>
    <w:rsid w:val="006207F8"/>
    <w:rsid w:val="00621C0B"/>
    <w:rsid w:val="0063729C"/>
    <w:rsid w:val="006374AD"/>
    <w:rsid w:val="00637FBE"/>
    <w:rsid w:val="00640447"/>
    <w:rsid w:val="00647593"/>
    <w:rsid w:val="00650B28"/>
    <w:rsid w:val="006623B5"/>
    <w:rsid w:val="006706C0"/>
    <w:rsid w:val="00692912"/>
    <w:rsid w:val="006A1D3B"/>
    <w:rsid w:val="006C3A49"/>
    <w:rsid w:val="006E6760"/>
    <w:rsid w:val="006E6B8D"/>
    <w:rsid w:val="00702063"/>
    <w:rsid w:val="00706A7F"/>
    <w:rsid w:val="00717143"/>
    <w:rsid w:val="00720B84"/>
    <w:rsid w:val="00724058"/>
    <w:rsid w:val="00735C6D"/>
    <w:rsid w:val="007521BC"/>
    <w:rsid w:val="007577C5"/>
    <w:rsid w:val="00757A00"/>
    <w:rsid w:val="00761E5C"/>
    <w:rsid w:val="007707F0"/>
    <w:rsid w:val="00794162"/>
    <w:rsid w:val="00795E65"/>
    <w:rsid w:val="007A60E4"/>
    <w:rsid w:val="007B16CD"/>
    <w:rsid w:val="007B5603"/>
    <w:rsid w:val="007D4523"/>
    <w:rsid w:val="007E5C11"/>
    <w:rsid w:val="007F0CC0"/>
    <w:rsid w:val="008028FC"/>
    <w:rsid w:val="00805A4B"/>
    <w:rsid w:val="0082431F"/>
    <w:rsid w:val="00846FC7"/>
    <w:rsid w:val="00850185"/>
    <w:rsid w:val="008627C2"/>
    <w:rsid w:val="00865CC9"/>
    <w:rsid w:val="00867BC2"/>
    <w:rsid w:val="00875A90"/>
    <w:rsid w:val="00882DF8"/>
    <w:rsid w:val="00887ED1"/>
    <w:rsid w:val="008A213F"/>
    <w:rsid w:val="008A4106"/>
    <w:rsid w:val="008C49BA"/>
    <w:rsid w:val="008C5305"/>
    <w:rsid w:val="008C63DE"/>
    <w:rsid w:val="008D0D2F"/>
    <w:rsid w:val="009048F6"/>
    <w:rsid w:val="0091784B"/>
    <w:rsid w:val="0092259A"/>
    <w:rsid w:val="00931EF5"/>
    <w:rsid w:val="00932C5E"/>
    <w:rsid w:val="009375FB"/>
    <w:rsid w:val="00937D5B"/>
    <w:rsid w:val="0094675B"/>
    <w:rsid w:val="009716C4"/>
    <w:rsid w:val="00983D0F"/>
    <w:rsid w:val="009952D5"/>
    <w:rsid w:val="009A1E54"/>
    <w:rsid w:val="009A2BE3"/>
    <w:rsid w:val="009A654C"/>
    <w:rsid w:val="009C5832"/>
    <w:rsid w:val="009D2BCD"/>
    <w:rsid w:val="00A17CBF"/>
    <w:rsid w:val="00A4420F"/>
    <w:rsid w:val="00A454E1"/>
    <w:rsid w:val="00A46BB1"/>
    <w:rsid w:val="00A712D3"/>
    <w:rsid w:val="00A769D7"/>
    <w:rsid w:val="00A87A79"/>
    <w:rsid w:val="00AA355F"/>
    <w:rsid w:val="00AB2793"/>
    <w:rsid w:val="00AC3159"/>
    <w:rsid w:val="00AC37E5"/>
    <w:rsid w:val="00AD45C7"/>
    <w:rsid w:val="00B02342"/>
    <w:rsid w:val="00B06329"/>
    <w:rsid w:val="00B2101E"/>
    <w:rsid w:val="00B22FE6"/>
    <w:rsid w:val="00B358ED"/>
    <w:rsid w:val="00B37D93"/>
    <w:rsid w:val="00B41E0B"/>
    <w:rsid w:val="00B424B1"/>
    <w:rsid w:val="00B46A67"/>
    <w:rsid w:val="00B50FE1"/>
    <w:rsid w:val="00B63F3B"/>
    <w:rsid w:val="00B756A3"/>
    <w:rsid w:val="00B76CBE"/>
    <w:rsid w:val="00B91E9F"/>
    <w:rsid w:val="00B95C2B"/>
    <w:rsid w:val="00BA3DC4"/>
    <w:rsid w:val="00BA508B"/>
    <w:rsid w:val="00BB07B5"/>
    <w:rsid w:val="00BB0D49"/>
    <w:rsid w:val="00BD27F7"/>
    <w:rsid w:val="00BD4EC9"/>
    <w:rsid w:val="00BE4775"/>
    <w:rsid w:val="00C336AF"/>
    <w:rsid w:val="00C41CC7"/>
    <w:rsid w:val="00C57475"/>
    <w:rsid w:val="00C7564D"/>
    <w:rsid w:val="00C835F4"/>
    <w:rsid w:val="00C84FC5"/>
    <w:rsid w:val="00C91EC4"/>
    <w:rsid w:val="00D20A35"/>
    <w:rsid w:val="00D2528C"/>
    <w:rsid w:val="00D3253D"/>
    <w:rsid w:val="00D330C3"/>
    <w:rsid w:val="00D43FAE"/>
    <w:rsid w:val="00D805D9"/>
    <w:rsid w:val="00D87DF5"/>
    <w:rsid w:val="00DA0AAA"/>
    <w:rsid w:val="00DA2819"/>
    <w:rsid w:val="00DD05CE"/>
    <w:rsid w:val="00DD1FEA"/>
    <w:rsid w:val="00DD30F3"/>
    <w:rsid w:val="00DD6B98"/>
    <w:rsid w:val="00DE4EE1"/>
    <w:rsid w:val="00DE53C1"/>
    <w:rsid w:val="00DF3BF2"/>
    <w:rsid w:val="00E11E59"/>
    <w:rsid w:val="00E1321D"/>
    <w:rsid w:val="00E13D8C"/>
    <w:rsid w:val="00E511FE"/>
    <w:rsid w:val="00E54655"/>
    <w:rsid w:val="00E548F1"/>
    <w:rsid w:val="00E60799"/>
    <w:rsid w:val="00E747C2"/>
    <w:rsid w:val="00E84D12"/>
    <w:rsid w:val="00E84FDD"/>
    <w:rsid w:val="00E91EE5"/>
    <w:rsid w:val="00EA3B1F"/>
    <w:rsid w:val="00EC2FFC"/>
    <w:rsid w:val="00EC4DC6"/>
    <w:rsid w:val="00EF16BD"/>
    <w:rsid w:val="00F01747"/>
    <w:rsid w:val="00F029FA"/>
    <w:rsid w:val="00F0777C"/>
    <w:rsid w:val="00F7523C"/>
    <w:rsid w:val="00F969E4"/>
    <w:rsid w:val="00FA3A9D"/>
    <w:rsid w:val="00FA42CA"/>
    <w:rsid w:val="00FC1BE7"/>
    <w:rsid w:val="00FE29B8"/>
    <w:rsid w:val="00FF1576"/>
    <w:rsid w:val="00FF299C"/>
    <w:rsid w:val="05BD72AA"/>
    <w:rsid w:val="2BA574F9"/>
    <w:rsid w:val="3C5A26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AD9438"/>
  <w15:chartTrackingRefBased/>
  <w15:docId w15:val="{72427DA7-5E45-473F-9BEE-86D5D983E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5A90"/>
  </w:style>
  <w:style w:type="paragraph" w:styleId="Heading1">
    <w:name w:val="heading 1"/>
    <w:basedOn w:val="Normal"/>
    <w:next w:val="Normal"/>
    <w:link w:val="Heading1Char"/>
    <w:uiPriority w:val="9"/>
    <w:qFormat/>
    <w:rsid w:val="004A251F"/>
    <w:pPr>
      <w:keepNext/>
      <w:keepLines/>
      <w:spacing w:before="240" w:after="240" w:line="240" w:lineRule="auto"/>
      <w:contextualSpacing/>
      <w:outlineLvl w:val="0"/>
    </w:pPr>
    <w:rPr>
      <w:rFonts w:asciiTheme="majorHAnsi" w:eastAsiaTheme="majorEastAsia" w:hAnsiTheme="majorHAnsi" w:cstheme="majorBidi"/>
      <w:sz w:val="48"/>
      <w:szCs w:val="32"/>
    </w:rPr>
  </w:style>
  <w:style w:type="paragraph" w:styleId="Heading2">
    <w:name w:val="heading 2"/>
    <w:basedOn w:val="Normal"/>
    <w:next w:val="Normal"/>
    <w:link w:val="Heading2Char"/>
    <w:uiPriority w:val="9"/>
    <w:unhideWhenUsed/>
    <w:qFormat/>
    <w:rsid w:val="004A251F"/>
    <w:pPr>
      <w:keepNext/>
      <w:keepLines/>
      <w:spacing w:before="240" w:after="120" w:line="240" w:lineRule="auto"/>
      <w:contextualSpacing/>
      <w:outlineLvl w:val="1"/>
    </w:pPr>
    <w:rPr>
      <w:rFonts w:asciiTheme="majorHAnsi" w:eastAsiaTheme="majorEastAsia" w:hAnsiTheme="majorHAnsi" w:cstheme="majorBidi"/>
      <w:sz w:val="36"/>
      <w:szCs w:val="26"/>
    </w:rPr>
  </w:style>
  <w:style w:type="paragraph" w:styleId="Heading3">
    <w:name w:val="heading 3"/>
    <w:basedOn w:val="Normal"/>
    <w:next w:val="Normal"/>
    <w:link w:val="Heading3Char"/>
    <w:uiPriority w:val="9"/>
    <w:unhideWhenUsed/>
    <w:qFormat/>
    <w:rsid w:val="004A251F"/>
    <w:pPr>
      <w:keepNext/>
      <w:keepLines/>
      <w:spacing w:before="240" w:after="120" w:line="240" w:lineRule="auto"/>
      <w:contextualSpacing/>
      <w:outlineLvl w:val="2"/>
    </w:pPr>
    <w:rPr>
      <w:rFonts w:asciiTheme="majorHAnsi" w:eastAsiaTheme="majorEastAsia" w:hAnsiTheme="majorHAnsi" w:cstheme="majorBidi"/>
      <w:sz w:val="28"/>
      <w:szCs w:val="24"/>
    </w:rPr>
  </w:style>
  <w:style w:type="paragraph" w:styleId="Heading4">
    <w:name w:val="heading 4"/>
    <w:basedOn w:val="Normal"/>
    <w:next w:val="Normal"/>
    <w:link w:val="Heading4Char"/>
    <w:uiPriority w:val="9"/>
    <w:unhideWhenUsed/>
    <w:qFormat/>
    <w:rsid w:val="004A251F"/>
    <w:pPr>
      <w:keepNext/>
      <w:keepLines/>
      <w:spacing w:before="120" w:after="0" w:line="240" w:lineRule="auto"/>
      <w:contextualSpacing/>
      <w:outlineLvl w:val="3"/>
    </w:pPr>
    <w:rPr>
      <w:rFonts w:asciiTheme="majorHAnsi" w:eastAsiaTheme="majorEastAsia" w:hAnsiTheme="majorHAnsi" w:cstheme="majorBidi"/>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453C"/>
    <w:pPr>
      <w:tabs>
        <w:tab w:val="center" w:pos="4536"/>
        <w:tab w:val="right" w:pos="9072"/>
      </w:tabs>
      <w:spacing w:after="0" w:line="240" w:lineRule="auto"/>
    </w:pPr>
  </w:style>
  <w:style w:type="character" w:customStyle="1" w:styleId="HeaderChar">
    <w:name w:val="Header Char"/>
    <w:basedOn w:val="DefaultParagraphFont"/>
    <w:link w:val="Header"/>
    <w:uiPriority w:val="99"/>
    <w:rsid w:val="005B453C"/>
  </w:style>
  <w:style w:type="paragraph" w:styleId="Footer">
    <w:name w:val="footer"/>
    <w:basedOn w:val="Normal"/>
    <w:link w:val="FooterChar"/>
    <w:uiPriority w:val="99"/>
    <w:unhideWhenUsed/>
    <w:rsid w:val="0010550F"/>
    <w:pPr>
      <w:tabs>
        <w:tab w:val="center" w:pos="4536"/>
        <w:tab w:val="right" w:pos="9072"/>
      </w:tabs>
      <w:spacing w:after="0" w:line="240" w:lineRule="auto"/>
      <w:ind w:left="-340"/>
    </w:pPr>
    <w:rPr>
      <w:sz w:val="16"/>
    </w:rPr>
  </w:style>
  <w:style w:type="character" w:customStyle="1" w:styleId="FooterChar">
    <w:name w:val="Footer Char"/>
    <w:basedOn w:val="DefaultParagraphFont"/>
    <w:link w:val="Footer"/>
    <w:uiPriority w:val="99"/>
    <w:rsid w:val="0010550F"/>
    <w:rPr>
      <w:sz w:val="16"/>
    </w:rPr>
  </w:style>
  <w:style w:type="character" w:customStyle="1" w:styleId="Heading1Char">
    <w:name w:val="Heading 1 Char"/>
    <w:basedOn w:val="DefaultParagraphFont"/>
    <w:link w:val="Heading1"/>
    <w:uiPriority w:val="9"/>
    <w:rsid w:val="004A251F"/>
    <w:rPr>
      <w:rFonts w:asciiTheme="majorHAnsi" w:eastAsiaTheme="majorEastAsia" w:hAnsiTheme="majorHAnsi" w:cstheme="majorBidi"/>
      <w:sz w:val="48"/>
      <w:szCs w:val="32"/>
    </w:rPr>
  </w:style>
  <w:style w:type="character" w:customStyle="1" w:styleId="Heading2Char">
    <w:name w:val="Heading 2 Char"/>
    <w:basedOn w:val="DefaultParagraphFont"/>
    <w:link w:val="Heading2"/>
    <w:uiPriority w:val="9"/>
    <w:rsid w:val="004A251F"/>
    <w:rPr>
      <w:rFonts w:asciiTheme="majorHAnsi" w:eastAsiaTheme="majorEastAsia" w:hAnsiTheme="majorHAnsi" w:cstheme="majorBidi"/>
      <w:sz w:val="36"/>
      <w:szCs w:val="26"/>
    </w:rPr>
  </w:style>
  <w:style w:type="character" w:customStyle="1" w:styleId="Heading3Char">
    <w:name w:val="Heading 3 Char"/>
    <w:basedOn w:val="DefaultParagraphFont"/>
    <w:link w:val="Heading3"/>
    <w:uiPriority w:val="9"/>
    <w:rsid w:val="004A251F"/>
    <w:rPr>
      <w:rFonts w:asciiTheme="majorHAnsi" w:eastAsiaTheme="majorEastAsia" w:hAnsiTheme="majorHAnsi" w:cstheme="majorBidi"/>
      <w:sz w:val="28"/>
      <w:szCs w:val="24"/>
    </w:rPr>
  </w:style>
  <w:style w:type="character" w:customStyle="1" w:styleId="Heading4Char">
    <w:name w:val="Heading 4 Char"/>
    <w:basedOn w:val="DefaultParagraphFont"/>
    <w:link w:val="Heading4"/>
    <w:uiPriority w:val="9"/>
    <w:rsid w:val="004A251F"/>
    <w:rPr>
      <w:rFonts w:asciiTheme="majorHAnsi" w:eastAsiaTheme="majorEastAsia" w:hAnsiTheme="majorHAnsi" w:cstheme="majorBidi"/>
      <w:i/>
      <w:iCs/>
      <w:sz w:val="24"/>
    </w:rPr>
  </w:style>
  <w:style w:type="paragraph" w:styleId="Title">
    <w:name w:val="Title"/>
    <w:basedOn w:val="Normal"/>
    <w:next w:val="Normal"/>
    <w:link w:val="TitleChar"/>
    <w:uiPriority w:val="10"/>
    <w:qFormat/>
    <w:rsid w:val="00875A90"/>
    <w:pPr>
      <w:spacing w:after="0" w:line="240" w:lineRule="auto"/>
      <w:contextualSpacing/>
    </w:pPr>
    <w:rPr>
      <w:rFonts w:asciiTheme="majorHAnsi" w:eastAsiaTheme="majorEastAsia" w:hAnsiTheme="majorHAnsi" w:cstheme="majorBidi"/>
      <w:color w:val="7E79AC" w:themeColor="accent1"/>
      <w:spacing w:val="-10"/>
      <w:kern w:val="28"/>
      <w:sz w:val="60"/>
      <w:szCs w:val="56"/>
    </w:rPr>
  </w:style>
  <w:style w:type="character" w:customStyle="1" w:styleId="TitleChar">
    <w:name w:val="Title Char"/>
    <w:basedOn w:val="DefaultParagraphFont"/>
    <w:link w:val="Title"/>
    <w:uiPriority w:val="10"/>
    <w:rsid w:val="00875A90"/>
    <w:rPr>
      <w:rFonts w:asciiTheme="majorHAnsi" w:eastAsiaTheme="majorEastAsia" w:hAnsiTheme="majorHAnsi" w:cstheme="majorBidi"/>
      <w:color w:val="7E79AC" w:themeColor="accent1"/>
      <w:spacing w:val="-10"/>
      <w:kern w:val="28"/>
      <w:sz w:val="60"/>
      <w:szCs w:val="56"/>
    </w:rPr>
  </w:style>
  <w:style w:type="paragraph" w:styleId="ListBullet">
    <w:name w:val="List Bullet"/>
    <w:basedOn w:val="Normal"/>
    <w:uiPriority w:val="9"/>
    <w:rsid w:val="005B453C"/>
    <w:pPr>
      <w:numPr>
        <w:numId w:val="1"/>
      </w:numPr>
      <w:contextualSpacing/>
    </w:pPr>
  </w:style>
  <w:style w:type="table" w:styleId="TableGrid">
    <w:name w:val="Table Grid"/>
    <w:basedOn w:val="TableNormal"/>
    <w:uiPriority w:val="39"/>
    <w:rsid w:val="003D68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unhideWhenUsed/>
    <w:qFormat/>
    <w:rsid w:val="00875A90"/>
    <w:pPr>
      <w:spacing w:after="200" w:line="240" w:lineRule="auto"/>
    </w:pPr>
    <w:rPr>
      <w:b/>
      <w:iCs/>
      <w:color w:val="7E79AC" w:themeColor="accent1"/>
      <w:sz w:val="18"/>
      <w:szCs w:val="18"/>
    </w:rPr>
  </w:style>
  <w:style w:type="table" w:styleId="PlainTable3">
    <w:name w:val="Plain Table 3"/>
    <w:basedOn w:val="TableNormal"/>
    <w:uiPriority w:val="43"/>
    <w:rsid w:val="003D68B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FootnoteText">
    <w:name w:val="footnote text"/>
    <w:basedOn w:val="Normal"/>
    <w:link w:val="FootnoteTextChar"/>
    <w:uiPriority w:val="99"/>
    <w:semiHidden/>
    <w:unhideWhenUsed/>
    <w:rsid w:val="00426732"/>
    <w:pPr>
      <w:spacing w:after="0" w:line="240" w:lineRule="auto"/>
    </w:pPr>
    <w:rPr>
      <w:rFonts w:ascii="Calibri" w:eastAsia="Times New Roman" w:hAnsi="Calibri" w:cs="Times New Roman"/>
      <w:sz w:val="20"/>
      <w:szCs w:val="20"/>
      <w:lang w:val="sv-SE" w:eastAsia="sv-SE"/>
    </w:rPr>
  </w:style>
  <w:style w:type="character" w:customStyle="1" w:styleId="FootnoteTextChar">
    <w:name w:val="Footnote Text Char"/>
    <w:basedOn w:val="DefaultParagraphFont"/>
    <w:link w:val="FootnoteText"/>
    <w:uiPriority w:val="99"/>
    <w:semiHidden/>
    <w:rsid w:val="00426732"/>
    <w:rPr>
      <w:rFonts w:ascii="Calibri" w:eastAsia="Times New Roman" w:hAnsi="Calibri" w:cs="Times New Roman"/>
      <w:sz w:val="20"/>
      <w:szCs w:val="20"/>
      <w:lang w:val="sv-SE" w:eastAsia="sv-SE"/>
    </w:rPr>
  </w:style>
  <w:style w:type="character" w:styleId="FootnoteReference">
    <w:name w:val="footnote reference"/>
    <w:basedOn w:val="DefaultParagraphFont"/>
    <w:uiPriority w:val="99"/>
    <w:semiHidden/>
    <w:unhideWhenUsed/>
    <w:rsid w:val="00426732"/>
    <w:rPr>
      <w:vertAlign w:val="superscript"/>
    </w:rPr>
  </w:style>
  <w:style w:type="paragraph" w:styleId="ListParagraph">
    <w:name w:val="List Paragraph"/>
    <w:basedOn w:val="Normal"/>
    <w:uiPriority w:val="34"/>
    <w:qFormat/>
    <w:rsid w:val="009048F6"/>
    <w:pPr>
      <w:spacing w:before="120" w:after="120" w:line="240" w:lineRule="atLeast"/>
      <w:ind w:left="720"/>
      <w:contextualSpacing/>
    </w:pPr>
    <w:rPr>
      <w:rFonts w:ascii="Calibri" w:eastAsia="Times New Roman" w:hAnsi="Calibri" w:cs="Times New Roman"/>
      <w:sz w:val="20"/>
      <w:szCs w:val="20"/>
      <w:lang w:val="sv-SE" w:eastAsia="sv-SE"/>
    </w:rPr>
  </w:style>
  <w:style w:type="character" w:styleId="Hyperlink">
    <w:name w:val="Hyperlink"/>
    <w:basedOn w:val="DefaultParagraphFont"/>
    <w:uiPriority w:val="99"/>
    <w:unhideWhenUsed/>
    <w:rsid w:val="0042519B"/>
    <w:rPr>
      <w:color w:val="0563C1" w:themeColor="hyperlink"/>
      <w:u w:val="single"/>
    </w:rPr>
  </w:style>
  <w:style w:type="character" w:customStyle="1" w:styleId="Olstomnmnande1">
    <w:name w:val="Olöst omnämnande1"/>
    <w:basedOn w:val="DefaultParagraphFont"/>
    <w:uiPriority w:val="99"/>
    <w:semiHidden/>
    <w:unhideWhenUsed/>
    <w:rsid w:val="0042519B"/>
    <w:rPr>
      <w:color w:val="605E5C"/>
      <w:shd w:val="clear" w:color="auto" w:fill="E1DFDD"/>
    </w:rPr>
  </w:style>
  <w:style w:type="character" w:styleId="CommentReference">
    <w:name w:val="annotation reference"/>
    <w:basedOn w:val="DefaultParagraphFont"/>
    <w:uiPriority w:val="99"/>
    <w:semiHidden/>
    <w:unhideWhenUsed/>
    <w:rsid w:val="00A4420F"/>
    <w:rPr>
      <w:sz w:val="16"/>
      <w:szCs w:val="16"/>
    </w:rPr>
  </w:style>
  <w:style w:type="paragraph" w:styleId="CommentText">
    <w:name w:val="annotation text"/>
    <w:basedOn w:val="Normal"/>
    <w:link w:val="CommentTextChar"/>
    <w:uiPriority w:val="99"/>
    <w:unhideWhenUsed/>
    <w:rsid w:val="00A4420F"/>
    <w:pPr>
      <w:spacing w:line="240" w:lineRule="auto"/>
    </w:pPr>
    <w:rPr>
      <w:sz w:val="20"/>
      <w:szCs w:val="20"/>
    </w:rPr>
  </w:style>
  <w:style w:type="character" w:customStyle="1" w:styleId="CommentTextChar">
    <w:name w:val="Comment Text Char"/>
    <w:basedOn w:val="DefaultParagraphFont"/>
    <w:link w:val="CommentText"/>
    <w:uiPriority w:val="99"/>
    <w:rsid w:val="00A4420F"/>
    <w:rPr>
      <w:sz w:val="20"/>
      <w:szCs w:val="20"/>
    </w:rPr>
  </w:style>
  <w:style w:type="paragraph" w:styleId="CommentSubject">
    <w:name w:val="annotation subject"/>
    <w:basedOn w:val="CommentText"/>
    <w:next w:val="CommentText"/>
    <w:link w:val="CommentSubjectChar"/>
    <w:uiPriority w:val="99"/>
    <w:semiHidden/>
    <w:unhideWhenUsed/>
    <w:rsid w:val="00A4420F"/>
    <w:rPr>
      <w:b/>
      <w:bCs/>
    </w:rPr>
  </w:style>
  <w:style w:type="character" w:customStyle="1" w:styleId="CommentSubjectChar">
    <w:name w:val="Comment Subject Char"/>
    <w:basedOn w:val="CommentTextChar"/>
    <w:link w:val="CommentSubject"/>
    <w:uiPriority w:val="99"/>
    <w:semiHidden/>
    <w:rsid w:val="00A4420F"/>
    <w:rPr>
      <w:b/>
      <w:bCs/>
      <w:sz w:val="20"/>
      <w:szCs w:val="20"/>
    </w:rPr>
  </w:style>
  <w:style w:type="paragraph" w:styleId="Revision">
    <w:name w:val="Revision"/>
    <w:hidden/>
    <w:uiPriority w:val="99"/>
    <w:semiHidden/>
    <w:rsid w:val="00EA3B1F"/>
    <w:pPr>
      <w:spacing w:after="0" w:line="240" w:lineRule="auto"/>
    </w:pPr>
  </w:style>
  <w:style w:type="paragraph" w:styleId="BalloonText">
    <w:name w:val="Balloon Text"/>
    <w:basedOn w:val="Normal"/>
    <w:link w:val="BalloonTextChar"/>
    <w:uiPriority w:val="99"/>
    <w:semiHidden/>
    <w:unhideWhenUsed/>
    <w:rsid w:val="00DD6B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6B98"/>
    <w:rPr>
      <w:rFonts w:ascii="Segoe UI" w:hAnsi="Segoe UI" w:cs="Segoe UI"/>
      <w:sz w:val="18"/>
      <w:szCs w:val="18"/>
    </w:rPr>
  </w:style>
  <w:style w:type="character" w:customStyle="1" w:styleId="UnresolvedMention1">
    <w:name w:val="Unresolved Mention1"/>
    <w:basedOn w:val="DefaultParagraphFont"/>
    <w:uiPriority w:val="99"/>
    <w:semiHidden/>
    <w:unhideWhenUsed/>
    <w:rsid w:val="000278E5"/>
    <w:rPr>
      <w:color w:val="605E5C"/>
      <w:shd w:val="clear" w:color="auto" w:fill="E1DFDD"/>
    </w:rPr>
  </w:style>
  <w:style w:type="character" w:styleId="FollowedHyperlink">
    <w:name w:val="FollowedHyperlink"/>
    <w:basedOn w:val="DefaultParagraphFont"/>
    <w:uiPriority w:val="99"/>
    <w:semiHidden/>
    <w:unhideWhenUsed/>
    <w:rsid w:val="00932C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7468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ntosaicbc.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ntosaicbc.org/about-cbc/"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ntosaicbc.org/wp-content/uploads/2023/02/Goal-2-Operational-Plan_-approved.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gar\OneDrive%20-%20Riksrevisionen\Documents\Mallar\Memo.dotx" TargetMode="External"/></Relationships>
</file>

<file path=word/theme/theme1.xml><?xml version="1.0" encoding="utf-8"?>
<a:theme xmlns:a="http://schemas.openxmlformats.org/drawingml/2006/main" name="Office Theme">
  <a:themeElements>
    <a:clrScheme name="CBC">
      <a:dk1>
        <a:sysClr val="windowText" lastClr="000000"/>
      </a:dk1>
      <a:lt1>
        <a:sysClr val="window" lastClr="FFFFFF"/>
      </a:lt1>
      <a:dk2>
        <a:srgbClr val="44546A"/>
      </a:dk2>
      <a:lt2>
        <a:srgbClr val="E7E6E6"/>
      </a:lt2>
      <a:accent1>
        <a:srgbClr val="7E79AC"/>
      </a:accent1>
      <a:accent2>
        <a:srgbClr val="BFBCD6"/>
      </a:accent2>
      <a:accent3>
        <a:srgbClr val="007DC3"/>
      </a:accent3>
      <a:accent4>
        <a:srgbClr val="74A4D7"/>
      </a:accent4>
      <a:accent5>
        <a:srgbClr val="A5A5A5"/>
      </a:accent5>
      <a:accent6>
        <a:srgbClr val="D8D8D8"/>
      </a:accent6>
      <a:hlink>
        <a:srgbClr val="0563C1"/>
      </a:hlink>
      <a:folHlink>
        <a:srgbClr val="954F72"/>
      </a:folHlink>
    </a:clrScheme>
    <a:fontScheme name="CBC">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ACBF8D8E106F4E87ABF5B72BD35681" ma:contentTypeVersion="17" ma:contentTypeDescription="Create a new document." ma:contentTypeScope="" ma:versionID="3a050785601cef77c420e61849cfc74b">
  <xsd:schema xmlns:xsd="http://www.w3.org/2001/XMLSchema" xmlns:xs="http://www.w3.org/2001/XMLSchema" xmlns:p="http://schemas.microsoft.com/office/2006/metadata/properties" xmlns:ns1="http://schemas.microsoft.com/sharepoint/v3" xmlns:ns3="6f115ece-0ade-4e1e-8d12-ac2396b52811" xmlns:ns4="d9a81ee3-ad33-4fbb-a034-e9d9300aefe1" targetNamespace="http://schemas.microsoft.com/office/2006/metadata/properties" ma:root="true" ma:fieldsID="68916fdf2329e47bac4e7598a526c9b8" ns1:_="" ns3:_="" ns4:_="">
    <xsd:import namespace="http://schemas.microsoft.com/sharepoint/v3"/>
    <xsd:import namespace="6f115ece-0ade-4e1e-8d12-ac2396b52811"/>
    <xsd:import namespace="d9a81ee3-ad33-4fbb-a034-e9d9300aefe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element ref="ns1:_ip_UnifiedCompliancePolicyProperties" minOccurs="0"/>
                <xsd:element ref="ns1:_ip_UnifiedCompliancePolicyUIAc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115ece-0ade-4e1e-8d12-ac2396b528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_activity" ma:index="24"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9a81ee3-ad33-4fbb-a034-e9d9300aefe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d9a81ee3-ad33-4fbb-a034-e9d9300aefe1">
      <UserInfo>
        <DisplayName>Anna Jannesson</DisplayName>
        <AccountId>35</AccountId>
        <AccountType/>
      </UserInfo>
      <UserInfo>
        <DisplayName>Camilla Lindståhl</DisplayName>
        <AccountId>14</AccountId>
        <AccountType/>
      </UserInfo>
    </SharedWithUsers>
    <_ip_UnifiedCompliancePolicyUIAction xmlns="http://schemas.microsoft.com/sharepoint/v3" xsi:nil="true"/>
    <_ip_UnifiedCompliancePolicyProperties xmlns="http://schemas.microsoft.com/sharepoint/v3" xsi:nil="true"/>
    <_activity xmlns="6f115ece-0ade-4e1e-8d12-ac2396b52811"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80E915-9E5C-4393-9050-A204F6ABFC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f115ece-0ade-4e1e-8d12-ac2396b52811"/>
    <ds:schemaRef ds:uri="d9a81ee3-ad33-4fbb-a034-e9d9300aef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26E6D7-9D78-44CE-9024-C2E81A13EFD8}">
  <ds:schemaRefs>
    <ds:schemaRef ds:uri="http://schemas.microsoft.com/sharepoint/v3/contenttype/forms"/>
  </ds:schemaRefs>
</ds:datastoreItem>
</file>

<file path=customXml/itemProps3.xml><?xml version="1.0" encoding="utf-8"?>
<ds:datastoreItem xmlns:ds="http://schemas.openxmlformats.org/officeDocument/2006/customXml" ds:itemID="{A750EA70-A09E-406E-AAB1-D0AEBD5ECF90}">
  <ds:schemaRefs>
    <ds:schemaRef ds:uri="http://schemas.microsoft.com/office/2006/metadata/properties"/>
    <ds:schemaRef ds:uri="http://schemas.microsoft.com/office/infopath/2007/PartnerControls"/>
    <ds:schemaRef ds:uri="d9a81ee3-ad33-4fbb-a034-e9d9300aefe1"/>
    <ds:schemaRef ds:uri="http://schemas.microsoft.com/sharepoint/v3"/>
    <ds:schemaRef ds:uri="6f115ece-0ade-4e1e-8d12-ac2396b52811"/>
  </ds:schemaRefs>
</ds:datastoreItem>
</file>

<file path=customXml/itemProps4.xml><?xml version="1.0" encoding="utf-8"?>
<ds:datastoreItem xmlns:ds="http://schemas.openxmlformats.org/officeDocument/2006/customXml" ds:itemID="{0E18C39B-3FB0-47F3-ABCF-087636697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Template>
  <TotalTime>56</TotalTime>
  <Pages>6</Pages>
  <Words>1549</Words>
  <Characters>8834</Characters>
  <Application>Microsoft Office Word</Application>
  <DocSecurity>0</DocSecurity>
  <Lines>73</Lines>
  <Paragraphs>20</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10363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Gårdmark</dc:creator>
  <cp:keywords/>
  <dc:description/>
  <cp:lastModifiedBy>Jan Van Schalkwyk (CE)</cp:lastModifiedBy>
  <cp:revision>60</cp:revision>
  <cp:lastPrinted>2018-11-05T10:38:00Z</cp:lastPrinted>
  <dcterms:created xsi:type="dcterms:W3CDTF">2023-05-04T10:01:00Z</dcterms:created>
  <dcterms:modified xsi:type="dcterms:W3CDTF">2023-05-26T12:52:00Z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0x010100FDACBF8D8E106F4E87ABF5B72BD35681</vt:lpwstr>
  </property>
  <property fmtid="{D5CDD505-2E9C-101B-9397-08002B2CF9AE}" pid="3" name="MediaServiceImageTags">
    <vt:lpwstr/>
  </property>
</Properties>
</file>