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9C64" w14:textId="77777777" w:rsidR="00B32F0F" w:rsidRDefault="00B32F0F" w:rsidP="00B32F0F">
      <w:pPr>
        <w:spacing w:after="120" w:line="240" w:lineRule="auto"/>
        <w:jc w:val="both"/>
        <w:rPr>
          <w:rFonts w:ascii="Calibri" w:eastAsia="Times New Roman" w:hAnsi="Calibri" w:cs="Times New Roman"/>
          <w:color w:val="244061" w:themeColor="accent1" w:themeShade="80"/>
          <w:sz w:val="36"/>
          <w:szCs w:val="24"/>
          <w:lang w:val="en-US"/>
        </w:rPr>
      </w:pPr>
      <w:r w:rsidRPr="003F1F75">
        <w:rPr>
          <w:rFonts w:ascii="Calibri" w:eastAsia="Times New Roman" w:hAnsi="Calibri" w:cs="Times New Roman"/>
          <w:noProof/>
          <w:color w:val="244061" w:themeColor="accent1" w:themeShade="80"/>
          <w:sz w:val="36"/>
          <w:szCs w:val="24"/>
          <w:lang w:eastAsia="en-ZA"/>
        </w:rPr>
        <mc:AlternateContent>
          <mc:Choice Requires="wps">
            <w:drawing>
              <wp:anchor distT="0" distB="0" distL="114300" distR="114300" simplePos="0" relativeHeight="251659264" behindDoc="0" locked="0" layoutInCell="1" allowOverlap="1" wp14:anchorId="08CC9A29" wp14:editId="0AA8EFEC">
                <wp:simplePos x="0" y="0"/>
                <wp:positionH relativeFrom="column">
                  <wp:posOffset>5776996</wp:posOffset>
                </wp:positionH>
                <wp:positionV relativeFrom="paragraph">
                  <wp:posOffset>-473343</wp:posOffset>
                </wp:positionV>
                <wp:extent cx="3167143" cy="1493520"/>
                <wp:effectExtent l="0" t="0" r="1460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143" cy="1493520"/>
                        </a:xfrm>
                        <a:prstGeom prst="rect">
                          <a:avLst/>
                        </a:prstGeom>
                        <a:solidFill>
                          <a:srgbClr val="FFFFFF"/>
                        </a:solidFill>
                        <a:ln w="9525">
                          <a:solidFill>
                            <a:schemeClr val="bg1">
                              <a:lumMod val="50000"/>
                            </a:schemeClr>
                          </a:solidFill>
                          <a:miter lim="800000"/>
                          <a:headEnd/>
                          <a:tailEnd/>
                        </a:ln>
                      </wps:spPr>
                      <wps:txbx>
                        <w:txbxContent>
                          <w:p w14:paraId="41B44519" w14:textId="77777777" w:rsidR="00B32F0F" w:rsidRPr="00271368" w:rsidRDefault="00B32F0F" w:rsidP="00B32F0F">
                            <w:pPr>
                              <w:spacing w:after="40"/>
                              <w:jc w:val="center"/>
                              <w:rPr>
                                <w:b/>
                                <w:i/>
                                <w:color w:val="404040" w:themeColor="text1" w:themeTint="BF"/>
                                <w:sz w:val="20"/>
                              </w:rPr>
                            </w:pPr>
                            <w:r w:rsidRPr="00271368">
                              <w:rPr>
                                <w:b/>
                                <w:i/>
                                <w:color w:val="404040" w:themeColor="text1" w:themeTint="BF"/>
                                <w:sz w:val="20"/>
                              </w:rPr>
                              <w:t>Key to progress indicator colours</w:t>
                            </w:r>
                            <w:r w:rsidR="00A8375F">
                              <w:rPr>
                                <w:b/>
                                <w:i/>
                                <w:color w:val="404040" w:themeColor="text1" w:themeTint="BF"/>
                                <w:sz w:val="20"/>
                              </w:rPr>
                              <w:t xml:space="preserve"> (</w:t>
                            </w:r>
                            <w:r w:rsidR="00C610E7">
                              <w:rPr>
                                <w:b/>
                                <w:i/>
                                <w:color w:val="404040" w:themeColor="text1" w:themeTint="BF"/>
                                <w:sz w:val="20"/>
                              </w:rPr>
                              <w:t xml:space="preserve">use </w:t>
                            </w:r>
                            <w:r w:rsidR="00A8375F">
                              <w:rPr>
                                <w:b/>
                                <w:i/>
                                <w:color w:val="404040" w:themeColor="text1" w:themeTint="BF"/>
                                <w:sz w:val="20"/>
                              </w:rPr>
                              <w:t>when reporting)</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00"/>
                              <w:gridCol w:w="3890"/>
                            </w:tblGrid>
                            <w:tr w:rsidR="00B32F0F" w:rsidRPr="0015765F" w14:paraId="166E3B5E" w14:textId="77777777" w:rsidTr="007F044E">
                              <w:tc>
                                <w:tcPr>
                                  <w:tcW w:w="817" w:type="dxa"/>
                                  <w:shd w:val="clear" w:color="auto" w:fill="92D050"/>
                                </w:tcPr>
                                <w:p w14:paraId="3BCB9AB6" w14:textId="77777777" w:rsidR="00B32F0F" w:rsidRDefault="00B32F0F"/>
                              </w:tc>
                              <w:tc>
                                <w:tcPr>
                                  <w:tcW w:w="3969" w:type="dxa"/>
                                </w:tcPr>
                                <w:p w14:paraId="0CFB0EAA" w14:textId="77777777" w:rsidR="00B32F0F" w:rsidRPr="0015765F" w:rsidRDefault="00B32F0F">
                                  <w:pPr>
                                    <w:rPr>
                                      <w:rFonts w:asciiTheme="minorHAnsi" w:hAnsiTheme="minorHAnsi" w:cstheme="minorHAnsi"/>
                                    </w:rPr>
                                  </w:pPr>
                                  <w:r w:rsidRPr="0015765F">
                                    <w:rPr>
                                      <w:rFonts w:asciiTheme="minorHAnsi" w:hAnsiTheme="minorHAnsi" w:cstheme="minorHAnsi"/>
                                    </w:rPr>
                                    <w:t xml:space="preserve">Initiatives / projects on schedule </w:t>
                                  </w:r>
                                </w:p>
                              </w:tc>
                            </w:tr>
                            <w:tr w:rsidR="00B32F0F" w:rsidRPr="0015765F" w14:paraId="4B02867B" w14:textId="77777777" w:rsidTr="007F044E">
                              <w:tc>
                                <w:tcPr>
                                  <w:tcW w:w="817" w:type="dxa"/>
                                  <w:shd w:val="clear" w:color="auto" w:fill="FFC000"/>
                                </w:tcPr>
                                <w:p w14:paraId="1DE8540D" w14:textId="77777777" w:rsidR="00B32F0F" w:rsidRDefault="00B32F0F"/>
                              </w:tc>
                              <w:tc>
                                <w:tcPr>
                                  <w:tcW w:w="3969" w:type="dxa"/>
                                </w:tcPr>
                                <w:p w14:paraId="74ED3476" w14:textId="77777777" w:rsidR="00B32F0F" w:rsidRPr="0015765F" w:rsidRDefault="00B32F0F">
                                  <w:pPr>
                                    <w:rPr>
                                      <w:rFonts w:asciiTheme="minorHAnsi" w:hAnsiTheme="minorHAnsi" w:cstheme="minorHAnsi"/>
                                    </w:rPr>
                                  </w:pPr>
                                  <w:r w:rsidRPr="0015765F">
                                    <w:rPr>
                                      <w:rFonts w:asciiTheme="minorHAnsi" w:hAnsiTheme="minorHAnsi" w:cstheme="minorHAnsi"/>
                                    </w:rPr>
                                    <w:t>Initiatives / projects behind schedule</w:t>
                                  </w:r>
                                </w:p>
                              </w:tc>
                            </w:tr>
                            <w:tr w:rsidR="00B32F0F" w:rsidRPr="0015765F" w14:paraId="2427F2C8" w14:textId="77777777" w:rsidTr="00AB24B0">
                              <w:tc>
                                <w:tcPr>
                                  <w:tcW w:w="817" w:type="dxa"/>
                                  <w:shd w:val="clear" w:color="auto" w:fill="7030A0"/>
                                </w:tcPr>
                                <w:p w14:paraId="3AEE0103" w14:textId="77777777" w:rsidR="00B32F0F" w:rsidRDefault="00B32F0F"/>
                              </w:tc>
                              <w:tc>
                                <w:tcPr>
                                  <w:tcW w:w="3969" w:type="dxa"/>
                                </w:tcPr>
                                <w:p w14:paraId="57A9B23F" w14:textId="77777777" w:rsidR="00B32F0F" w:rsidRPr="0015765F" w:rsidRDefault="00B32F0F" w:rsidP="002422DD">
                                  <w:pPr>
                                    <w:rPr>
                                      <w:rFonts w:asciiTheme="minorHAnsi" w:hAnsiTheme="minorHAnsi" w:cstheme="minorHAnsi"/>
                                    </w:rPr>
                                  </w:pPr>
                                  <w:r>
                                    <w:rPr>
                                      <w:rFonts w:asciiTheme="minorHAnsi" w:hAnsiTheme="minorHAnsi" w:cstheme="minorHAnsi"/>
                                    </w:rPr>
                                    <w:t>Delayed owing to reasons beyond control</w:t>
                                  </w:r>
                                  <w:r w:rsidRPr="0015765F">
                                    <w:rPr>
                                      <w:rFonts w:asciiTheme="minorHAnsi" w:hAnsiTheme="minorHAnsi" w:cstheme="minorHAnsi"/>
                                    </w:rPr>
                                    <w:t xml:space="preserve"> </w:t>
                                  </w:r>
                                </w:p>
                              </w:tc>
                            </w:tr>
                            <w:tr w:rsidR="00B32F0F" w:rsidRPr="0015765F" w14:paraId="59B42DF6" w14:textId="77777777" w:rsidTr="007F044E">
                              <w:tc>
                                <w:tcPr>
                                  <w:tcW w:w="817" w:type="dxa"/>
                                  <w:shd w:val="clear" w:color="auto" w:fill="FF0000"/>
                                </w:tcPr>
                                <w:p w14:paraId="2B99989B" w14:textId="77777777" w:rsidR="00B32F0F" w:rsidRDefault="00B32F0F"/>
                              </w:tc>
                              <w:tc>
                                <w:tcPr>
                                  <w:tcW w:w="3969" w:type="dxa"/>
                                </w:tcPr>
                                <w:p w14:paraId="3E8043C2" w14:textId="77777777" w:rsidR="00B32F0F" w:rsidRPr="0015765F" w:rsidRDefault="00B32F0F" w:rsidP="007A2148">
                                  <w:pPr>
                                    <w:rPr>
                                      <w:rFonts w:asciiTheme="minorHAnsi" w:hAnsiTheme="minorHAnsi" w:cstheme="minorHAnsi"/>
                                    </w:rPr>
                                  </w:pPr>
                                  <w:r w:rsidRPr="007A2148">
                                    <w:rPr>
                                      <w:rFonts w:asciiTheme="minorHAnsi" w:hAnsiTheme="minorHAnsi" w:cstheme="minorHAnsi"/>
                                    </w:rPr>
                                    <w:t>Serious</w:t>
                                  </w:r>
                                  <w:r>
                                    <w:rPr>
                                      <w:rFonts w:asciiTheme="minorHAnsi" w:hAnsiTheme="minorHAnsi" w:cstheme="minorHAnsi"/>
                                    </w:rPr>
                                    <w:t xml:space="preserve"> difficulties being experienced</w:t>
                                  </w:r>
                                </w:p>
                              </w:tc>
                            </w:tr>
                            <w:tr w:rsidR="00B32F0F" w:rsidRPr="0015765F" w14:paraId="07178A66" w14:textId="77777777" w:rsidTr="007F044E">
                              <w:tc>
                                <w:tcPr>
                                  <w:tcW w:w="817" w:type="dxa"/>
                                  <w:shd w:val="clear" w:color="auto" w:fill="00CCFF"/>
                                </w:tcPr>
                                <w:p w14:paraId="705410F4" w14:textId="77777777" w:rsidR="00B32F0F" w:rsidRDefault="00B32F0F" w:rsidP="00A23BA0"/>
                              </w:tc>
                              <w:tc>
                                <w:tcPr>
                                  <w:tcW w:w="3969" w:type="dxa"/>
                                </w:tcPr>
                                <w:p w14:paraId="641B51A1" w14:textId="77777777" w:rsidR="00B32F0F" w:rsidRPr="0015765F" w:rsidRDefault="00B32F0F" w:rsidP="00A23BA0">
                                  <w:pPr>
                                    <w:rPr>
                                      <w:rFonts w:asciiTheme="minorHAnsi" w:hAnsiTheme="minorHAnsi" w:cstheme="minorHAnsi"/>
                                    </w:rPr>
                                  </w:pPr>
                                  <w:r w:rsidRPr="0015765F">
                                    <w:rPr>
                                      <w:rFonts w:asciiTheme="minorHAnsi" w:hAnsiTheme="minorHAnsi" w:cstheme="minorHAnsi"/>
                                    </w:rPr>
                                    <w:t>Not yet scheduled to start</w:t>
                                  </w:r>
                                </w:p>
                              </w:tc>
                            </w:tr>
                            <w:tr w:rsidR="00B32F0F" w:rsidRPr="0015765F" w14:paraId="641A7F22" w14:textId="77777777" w:rsidTr="007F044E">
                              <w:tc>
                                <w:tcPr>
                                  <w:tcW w:w="817" w:type="dxa"/>
                                  <w:shd w:val="clear" w:color="auto" w:fill="404040" w:themeFill="text1" w:themeFillTint="BF"/>
                                </w:tcPr>
                                <w:p w14:paraId="2D2516AA" w14:textId="77777777" w:rsidR="00B32F0F" w:rsidRDefault="00B32F0F"/>
                              </w:tc>
                              <w:tc>
                                <w:tcPr>
                                  <w:tcW w:w="3969" w:type="dxa"/>
                                </w:tcPr>
                                <w:p w14:paraId="02E346A9" w14:textId="77777777" w:rsidR="00B32F0F" w:rsidRPr="0015765F" w:rsidRDefault="00B32F0F">
                                  <w:pPr>
                                    <w:rPr>
                                      <w:rFonts w:cstheme="minorHAnsi"/>
                                    </w:rPr>
                                  </w:pPr>
                                  <w:proofErr w:type="gramStart"/>
                                  <w:r w:rsidRPr="0015765F">
                                    <w:rPr>
                                      <w:rFonts w:asciiTheme="minorHAnsi" w:hAnsiTheme="minorHAnsi" w:cstheme="minorHAnsi"/>
                                    </w:rPr>
                                    <w:t>Initiatives  /</w:t>
                                  </w:r>
                                  <w:proofErr w:type="gramEnd"/>
                                  <w:r w:rsidRPr="0015765F">
                                    <w:rPr>
                                      <w:rFonts w:asciiTheme="minorHAnsi" w:hAnsiTheme="minorHAnsi" w:cstheme="minorHAnsi"/>
                                    </w:rPr>
                                    <w:t xml:space="preserve"> projects completed</w:t>
                                  </w:r>
                                </w:p>
                              </w:tc>
                            </w:tr>
                          </w:tbl>
                          <w:p w14:paraId="678C2EF7" w14:textId="77777777" w:rsidR="00B32F0F" w:rsidRDefault="00B32F0F" w:rsidP="00B32F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C9A29" id="_x0000_t202" coordsize="21600,21600" o:spt="202" path="m,l,21600r21600,l21600,xe">
                <v:stroke joinstyle="miter"/>
                <v:path gradientshapeok="t" o:connecttype="rect"/>
              </v:shapetype>
              <v:shape id="Text Box 2" o:spid="_x0000_s1026" type="#_x0000_t202" style="position:absolute;left:0;text-align:left;margin-left:454.9pt;margin-top:-37.25pt;width:249.4pt;height:1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" strokecolor="#7f7f7f [1612]">
                <v:textbox>
                  <w:txbxContent>
                    <w:p w14:paraId="41B44519" w14:textId="77777777" w:rsidR="00B32F0F" w:rsidRPr="00271368" w:rsidRDefault="00B32F0F" w:rsidP="00B32F0F">
                      <w:pPr>
                        <w:spacing w:after="40"/>
                        <w:jc w:val="center"/>
                        <w:rPr>
                          <w:b/>
                          <w:i/>
                          <w:color w:val="404040" w:themeColor="text1" w:themeTint="BF"/>
                          <w:sz w:val="20"/>
                        </w:rPr>
                      </w:pPr>
                      <w:r w:rsidRPr="00271368">
                        <w:rPr>
                          <w:b/>
                          <w:i/>
                          <w:color w:val="404040" w:themeColor="text1" w:themeTint="BF"/>
                          <w:sz w:val="20"/>
                        </w:rPr>
                        <w:t>Key to progress indicator colours</w:t>
                      </w:r>
                      <w:r w:rsidR="00A8375F">
                        <w:rPr>
                          <w:b/>
                          <w:i/>
                          <w:color w:val="404040" w:themeColor="text1" w:themeTint="BF"/>
                          <w:sz w:val="20"/>
                        </w:rPr>
                        <w:t xml:space="preserve"> (</w:t>
                      </w:r>
                      <w:r w:rsidR="00C610E7">
                        <w:rPr>
                          <w:b/>
                          <w:i/>
                          <w:color w:val="404040" w:themeColor="text1" w:themeTint="BF"/>
                          <w:sz w:val="20"/>
                        </w:rPr>
                        <w:t xml:space="preserve">use </w:t>
                      </w:r>
                      <w:r w:rsidR="00A8375F">
                        <w:rPr>
                          <w:b/>
                          <w:i/>
                          <w:color w:val="404040" w:themeColor="text1" w:themeTint="BF"/>
                          <w:sz w:val="20"/>
                        </w:rPr>
                        <w:t>when reporting)</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00"/>
                        <w:gridCol w:w="3890"/>
                      </w:tblGrid>
                      <w:tr w:rsidR="00B32F0F" w:rsidRPr="0015765F" w14:paraId="166E3B5E" w14:textId="77777777" w:rsidTr="007F044E">
                        <w:tc>
                          <w:tcPr>
                            <w:tcW w:w="817" w:type="dxa"/>
                            <w:shd w:val="clear" w:color="auto" w:fill="92D050"/>
                          </w:tcPr>
                          <w:p w14:paraId="3BCB9AB6" w14:textId="77777777" w:rsidR="00B32F0F" w:rsidRDefault="00B32F0F"/>
                        </w:tc>
                        <w:tc>
                          <w:tcPr>
                            <w:tcW w:w="3969" w:type="dxa"/>
                          </w:tcPr>
                          <w:p w14:paraId="0CFB0EAA" w14:textId="77777777" w:rsidR="00B32F0F" w:rsidRPr="0015765F" w:rsidRDefault="00B32F0F">
                            <w:pPr>
                              <w:rPr>
                                <w:rFonts w:asciiTheme="minorHAnsi" w:hAnsiTheme="minorHAnsi" w:cstheme="minorHAnsi"/>
                              </w:rPr>
                            </w:pPr>
                            <w:r w:rsidRPr="0015765F">
                              <w:rPr>
                                <w:rFonts w:asciiTheme="minorHAnsi" w:hAnsiTheme="minorHAnsi" w:cstheme="minorHAnsi"/>
                              </w:rPr>
                              <w:t xml:space="preserve">Initiatives / projects on schedule </w:t>
                            </w:r>
                          </w:p>
                        </w:tc>
                      </w:tr>
                      <w:tr w:rsidR="00B32F0F" w:rsidRPr="0015765F" w14:paraId="4B02867B" w14:textId="77777777" w:rsidTr="007F044E">
                        <w:tc>
                          <w:tcPr>
                            <w:tcW w:w="817" w:type="dxa"/>
                            <w:shd w:val="clear" w:color="auto" w:fill="FFC000"/>
                          </w:tcPr>
                          <w:p w14:paraId="1DE8540D" w14:textId="77777777" w:rsidR="00B32F0F" w:rsidRDefault="00B32F0F"/>
                        </w:tc>
                        <w:tc>
                          <w:tcPr>
                            <w:tcW w:w="3969" w:type="dxa"/>
                          </w:tcPr>
                          <w:p w14:paraId="74ED3476" w14:textId="77777777" w:rsidR="00B32F0F" w:rsidRPr="0015765F" w:rsidRDefault="00B32F0F">
                            <w:pPr>
                              <w:rPr>
                                <w:rFonts w:asciiTheme="minorHAnsi" w:hAnsiTheme="minorHAnsi" w:cstheme="minorHAnsi"/>
                              </w:rPr>
                            </w:pPr>
                            <w:r w:rsidRPr="0015765F">
                              <w:rPr>
                                <w:rFonts w:asciiTheme="minorHAnsi" w:hAnsiTheme="minorHAnsi" w:cstheme="minorHAnsi"/>
                              </w:rPr>
                              <w:t>Initiatives / projects behind schedule</w:t>
                            </w:r>
                          </w:p>
                        </w:tc>
                      </w:tr>
                      <w:tr w:rsidR="00B32F0F" w:rsidRPr="0015765F" w14:paraId="2427F2C8" w14:textId="77777777" w:rsidTr="00AB24B0">
                        <w:tc>
                          <w:tcPr>
                            <w:tcW w:w="817" w:type="dxa"/>
                            <w:shd w:val="clear" w:color="auto" w:fill="7030A0"/>
                          </w:tcPr>
                          <w:p w14:paraId="3AEE0103" w14:textId="77777777" w:rsidR="00B32F0F" w:rsidRDefault="00B32F0F"/>
                        </w:tc>
                        <w:tc>
                          <w:tcPr>
                            <w:tcW w:w="3969" w:type="dxa"/>
                          </w:tcPr>
                          <w:p w14:paraId="57A9B23F" w14:textId="77777777" w:rsidR="00B32F0F" w:rsidRPr="0015765F" w:rsidRDefault="00B32F0F" w:rsidP="002422DD">
                            <w:pPr>
                              <w:rPr>
                                <w:rFonts w:asciiTheme="minorHAnsi" w:hAnsiTheme="minorHAnsi" w:cstheme="minorHAnsi"/>
                              </w:rPr>
                            </w:pPr>
                            <w:r>
                              <w:rPr>
                                <w:rFonts w:asciiTheme="minorHAnsi" w:hAnsiTheme="minorHAnsi" w:cstheme="minorHAnsi"/>
                              </w:rPr>
                              <w:t>Delayed owing to reasons beyond control</w:t>
                            </w:r>
                            <w:r w:rsidRPr="0015765F">
                              <w:rPr>
                                <w:rFonts w:asciiTheme="minorHAnsi" w:hAnsiTheme="minorHAnsi" w:cstheme="minorHAnsi"/>
                              </w:rPr>
                              <w:t xml:space="preserve"> </w:t>
                            </w:r>
                          </w:p>
                        </w:tc>
                      </w:tr>
                      <w:tr w:rsidR="00B32F0F" w:rsidRPr="0015765F" w14:paraId="59B42DF6" w14:textId="77777777" w:rsidTr="007F044E">
                        <w:tc>
                          <w:tcPr>
                            <w:tcW w:w="817" w:type="dxa"/>
                            <w:shd w:val="clear" w:color="auto" w:fill="FF0000"/>
                          </w:tcPr>
                          <w:p w14:paraId="2B99989B" w14:textId="77777777" w:rsidR="00B32F0F" w:rsidRDefault="00B32F0F"/>
                        </w:tc>
                        <w:tc>
                          <w:tcPr>
                            <w:tcW w:w="3969" w:type="dxa"/>
                          </w:tcPr>
                          <w:p w14:paraId="3E8043C2" w14:textId="77777777" w:rsidR="00B32F0F" w:rsidRPr="0015765F" w:rsidRDefault="00B32F0F" w:rsidP="007A2148">
                            <w:pPr>
                              <w:rPr>
                                <w:rFonts w:asciiTheme="minorHAnsi" w:hAnsiTheme="minorHAnsi" w:cstheme="minorHAnsi"/>
                              </w:rPr>
                            </w:pPr>
                            <w:r w:rsidRPr="007A2148">
                              <w:rPr>
                                <w:rFonts w:asciiTheme="minorHAnsi" w:hAnsiTheme="minorHAnsi" w:cstheme="minorHAnsi"/>
                              </w:rPr>
                              <w:t>Serious</w:t>
                            </w:r>
                            <w:r>
                              <w:rPr>
                                <w:rFonts w:asciiTheme="minorHAnsi" w:hAnsiTheme="minorHAnsi" w:cstheme="minorHAnsi"/>
                              </w:rPr>
                              <w:t xml:space="preserve"> difficulties being experienced</w:t>
                            </w:r>
                          </w:p>
                        </w:tc>
                      </w:tr>
                      <w:tr w:rsidR="00B32F0F" w:rsidRPr="0015765F" w14:paraId="07178A66" w14:textId="77777777" w:rsidTr="007F044E">
                        <w:tc>
                          <w:tcPr>
                            <w:tcW w:w="817" w:type="dxa"/>
                            <w:shd w:val="clear" w:color="auto" w:fill="00CCFF"/>
                          </w:tcPr>
                          <w:p w14:paraId="705410F4" w14:textId="77777777" w:rsidR="00B32F0F" w:rsidRDefault="00B32F0F" w:rsidP="00A23BA0"/>
                        </w:tc>
                        <w:tc>
                          <w:tcPr>
                            <w:tcW w:w="3969" w:type="dxa"/>
                          </w:tcPr>
                          <w:p w14:paraId="641B51A1" w14:textId="77777777" w:rsidR="00B32F0F" w:rsidRPr="0015765F" w:rsidRDefault="00B32F0F" w:rsidP="00A23BA0">
                            <w:pPr>
                              <w:rPr>
                                <w:rFonts w:asciiTheme="minorHAnsi" w:hAnsiTheme="minorHAnsi" w:cstheme="minorHAnsi"/>
                              </w:rPr>
                            </w:pPr>
                            <w:r w:rsidRPr="0015765F">
                              <w:rPr>
                                <w:rFonts w:asciiTheme="minorHAnsi" w:hAnsiTheme="minorHAnsi" w:cstheme="minorHAnsi"/>
                              </w:rPr>
                              <w:t>Not yet scheduled to start</w:t>
                            </w:r>
                          </w:p>
                        </w:tc>
                      </w:tr>
                      <w:tr w:rsidR="00B32F0F" w:rsidRPr="0015765F" w14:paraId="641A7F22" w14:textId="77777777" w:rsidTr="007F044E">
                        <w:tc>
                          <w:tcPr>
                            <w:tcW w:w="817" w:type="dxa"/>
                            <w:shd w:val="clear" w:color="auto" w:fill="404040" w:themeFill="text1" w:themeFillTint="BF"/>
                          </w:tcPr>
                          <w:p w14:paraId="2D2516AA" w14:textId="77777777" w:rsidR="00B32F0F" w:rsidRDefault="00B32F0F"/>
                        </w:tc>
                        <w:tc>
                          <w:tcPr>
                            <w:tcW w:w="3969" w:type="dxa"/>
                          </w:tcPr>
                          <w:p w14:paraId="02E346A9" w14:textId="77777777" w:rsidR="00B32F0F" w:rsidRPr="0015765F" w:rsidRDefault="00B32F0F">
                            <w:pPr>
                              <w:rPr>
                                <w:rFonts w:cstheme="minorHAnsi"/>
                              </w:rPr>
                            </w:pPr>
                            <w:proofErr w:type="gramStart"/>
                            <w:r w:rsidRPr="0015765F">
                              <w:rPr>
                                <w:rFonts w:asciiTheme="minorHAnsi" w:hAnsiTheme="minorHAnsi" w:cstheme="minorHAnsi"/>
                              </w:rPr>
                              <w:t>Initiatives  /</w:t>
                            </w:r>
                            <w:proofErr w:type="gramEnd"/>
                            <w:r w:rsidRPr="0015765F">
                              <w:rPr>
                                <w:rFonts w:asciiTheme="minorHAnsi" w:hAnsiTheme="minorHAnsi" w:cstheme="minorHAnsi"/>
                              </w:rPr>
                              <w:t xml:space="preserve"> projects completed</w:t>
                            </w:r>
                          </w:p>
                        </w:tc>
                      </w:tr>
                    </w:tbl>
                    <w:p w14:paraId="678C2EF7" w14:textId="77777777" w:rsidR="00B32F0F" w:rsidRDefault="00B32F0F" w:rsidP="00B32F0F"/>
                  </w:txbxContent>
                </v:textbox>
              </v:shape>
            </w:pict>
          </mc:Fallback>
        </mc:AlternateContent>
      </w:r>
      <w:r>
        <w:rPr>
          <w:rFonts w:ascii="Calibri" w:eastAsia="Times New Roman" w:hAnsi="Calibri" w:cs="Times New Roman"/>
          <w:color w:val="244061" w:themeColor="accent1" w:themeShade="80"/>
          <w:sz w:val="36"/>
          <w:szCs w:val="24"/>
          <w:lang w:val="en-US"/>
        </w:rPr>
        <w:t xml:space="preserve">CBC </w:t>
      </w:r>
      <w:r w:rsidR="00A8375F">
        <w:rPr>
          <w:rFonts w:ascii="Calibri" w:eastAsia="Times New Roman" w:hAnsi="Calibri" w:cs="Times New Roman"/>
          <w:color w:val="244061" w:themeColor="accent1" w:themeShade="80"/>
          <w:sz w:val="36"/>
          <w:szCs w:val="24"/>
          <w:lang w:val="en-US"/>
        </w:rPr>
        <w:t>p</w:t>
      </w:r>
      <w:r w:rsidR="002021C2">
        <w:rPr>
          <w:rFonts w:ascii="Calibri" w:eastAsia="Times New Roman" w:hAnsi="Calibri" w:cs="Times New Roman"/>
          <w:color w:val="244061" w:themeColor="accent1" w:themeShade="80"/>
          <w:sz w:val="36"/>
          <w:szCs w:val="24"/>
          <w:lang w:val="en-US"/>
        </w:rPr>
        <w:t xml:space="preserve">lanning </w:t>
      </w:r>
      <w:r w:rsidR="00A8375F">
        <w:rPr>
          <w:rFonts w:ascii="Calibri" w:eastAsia="Times New Roman" w:hAnsi="Calibri" w:cs="Times New Roman"/>
          <w:color w:val="244061" w:themeColor="accent1" w:themeShade="80"/>
          <w:sz w:val="36"/>
          <w:szCs w:val="24"/>
          <w:lang w:val="en-US"/>
        </w:rPr>
        <w:t>and reporting d</w:t>
      </w:r>
      <w:r>
        <w:rPr>
          <w:rFonts w:ascii="Calibri" w:eastAsia="Times New Roman" w:hAnsi="Calibri" w:cs="Times New Roman"/>
          <w:color w:val="244061" w:themeColor="accent1" w:themeShade="80"/>
          <w:sz w:val="36"/>
          <w:szCs w:val="24"/>
          <w:lang w:val="en-US"/>
        </w:rPr>
        <w:t>ashboard 202</w:t>
      </w:r>
      <w:r w:rsidR="002021C2">
        <w:rPr>
          <w:rFonts w:ascii="Calibri" w:eastAsia="Times New Roman" w:hAnsi="Calibri" w:cs="Times New Roman"/>
          <w:color w:val="244061" w:themeColor="accent1" w:themeShade="80"/>
          <w:sz w:val="36"/>
          <w:szCs w:val="24"/>
          <w:lang w:val="en-US"/>
        </w:rPr>
        <w:t>3</w:t>
      </w:r>
      <w:r w:rsidR="00070503">
        <w:rPr>
          <w:rFonts w:ascii="Calibri" w:eastAsia="Times New Roman" w:hAnsi="Calibri" w:cs="Times New Roman"/>
          <w:color w:val="244061" w:themeColor="accent1" w:themeShade="80"/>
          <w:sz w:val="36"/>
          <w:szCs w:val="24"/>
          <w:lang w:val="en-US"/>
        </w:rPr>
        <w:t>-25</w:t>
      </w:r>
    </w:p>
    <w:p w14:paraId="13D34439" w14:textId="57C85A49" w:rsidR="00B32F0F" w:rsidRPr="00AD4B91" w:rsidRDefault="00317DF7" w:rsidP="00AD4B91">
      <w:pPr>
        <w:spacing w:after="120" w:line="240" w:lineRule="auto"/>
        <w:ind w:left="-1134" w:firstLine="1134"/>
        <w:rPr>
          <w:rFonts w:ascii="Calibri" w:eastAsia="Times New Roman" w:hAnsi="Calibri" w:cs="Times New Roman"/>
          <w:b/>
          <w:color w:val="244061" w:themeColor="accent1" w:themeShade="80"/>
          <w:sz w:val="36"/>
          <w:szCs w:val="24"/>
          <w:lang w:val="en-US"/>
        </w:rPr>
      </w:pPr>
      <w:r>
        <w:rPr>
          <w:rFonts w:ascii="Calibri" w:eastAsia="Times New Roman" w:hAnsi="Calibri" w:cs="Times New Roman"/>
          <w:b/>
          <w:i/>
          <w:iCs/>
          <w:color w:val="244061" w:themeColor="accent1" w:themeShade="80"/>
          <w:sz w:val="36"/>
          <w:szCs w:val="24"/>
          <w:lang w:val="en-US"/>
        </w:rPr>
        <w:t>TFIAP</w:t>
      </w:r>
      <w:r w:rsidR="00AD4B91">
        <w:rPr>
          <w:rFonts w:ascii="Calibri" w:eastAsia="Times New Roman" w:hAnsi="Calibri" w:cs="Times New Roman"/>
          <w:b/>
          <w:color w:val="244061" w:themeColor="accent1" w:themeShade="80"/>
          <w:sz w:val="36"/>
          <w:szCs w:val="24"/>
          <w:lang w:val="en-US"/>
        </w:rPr>
        <w:t xml:space="preserve"> </w:t>
      </w:r>
      <w:r w:rsidR="00B32F0F" w:rsidRPr="003A6168">
        <w:rPr>
          <w:rFonts w:ascii="Calibri" w:eastAsia="Times New Roman" w:hAnsi="Calibri" w:cs="Times New Roman"/>
          <w:color w:val="244061" w:themeColor="accent1" w:themeShade="80"/>
          <w:sz w:val="36"/>
          <w:szCs w:val="24"/>
          <w:lang w:val="en-US"/>
        </w:rPr>
        <w:t>(</w:t>
      </w:r>
      <w:r w:rsidR="00AD4B91">
        <w:rPr>
          <w:rFonts w:ascii="Calibri" w:eastAsia="Times New Roman" w:hAnsi="Calibri" w:cs="Times New Roman"/>
          <w:color w:val="244061" w:themeColor="accent1" w:themeShade="80"/>
          <w:sz w:val="36"/>
          <w:szCs w:val="24"/>
          <w:lang w:val="en-US"/>
        </w:rPr>
        <w:t>chaired by</w:t>
      </w:r>
      <w:r w:rsidR="00F944CE">
        <w:rPr>
          <w:rFonts w:ascii="Calibri" w:eastAsia="Times New Roman" w:hAnsi="Calibri" w:cs="Times New Roman"/>
          <w:color w:val="244061" w:themeColor="accent1" w:themeShade="80"/>
          <w:sz w:val="36"/>
          <w:szCs w:val="24"/>
          <w:lang w:val="en-US"/>
        </w:rPr>
        <w:t xml:space="preserve"> </w:t>
      </w:r>
      <w:r>
        <w:rPr>
          <w:rFonts w:ascii="Calibri" w:eastAsia="Times New Roman" w:hAnsi="Calibri" w:cs="Times New Roman"/>
          <w:iCs/>
          <w:color w:val="244061" w:themeColor="accent1" w:themeShade="80"/>
          <w:sz w:val="36"/>
          <w:szCs w:val="24"/>
          <w:lang w:val="en-US"/>
        </w:rPr>
        <w:t>SAI South Africa</w:t>
      </w:r>
      <w:r w:rsidR="00B32F0F" w:rsidRPr="003A6168">
        <w:rPr>
          <w:rFonts w:ascii="Calibri" w:eastAsia="Times New Roman" w:hAnsi="Calibri" w:cs="Times New Roman"/>
          <w:color w:val="244061" w:themeColor="accent1" w:themeShade="80"/>
          <w:sz w:val="36"/>
          <w:szCs w:val="24"/>
          <w:lang w:val="en-US"/>
        </w:rPr>
        <w:t>)</w:t>
      </w:r>
    </w:p>
    <w:p w14:paraId="2AECFE9F" w14:textId="464EEFC2" w:rsidR="005B2476" w:rsidRDefault="00F944CE" w:rsidP="00B32F0F">
      <w:pPr>
        <w:spacing w:after="120" w:line="240" w:lineRule="auto"/>
        <w:rPr>
          <w:rFonts w:ascii="Calibri" w:eastAsia="Times New Roman" w:hAnsi="Calibri" w:cs="Times New Roman"/>
          <w:b/>
          <w:i/>
          <w:color w:val="008080"/>
          <w:sz w:val="36"/>
          <w:szCs w:val="38"/>
          <w:lang w:val="en-US"/>
        </w:rPr>
      </w:pPr>
      <w:r>
        <w:rPr>
          <w:rFonts w:ascii="Calibri" w:eastAsia="Times New Roman" w:hAnsi="Calibri" w:cs="Times New Roman"/>
          <w:b/>
          <w:color w:val="008080"/>
          <w:sz w:val="38"/>
          <w:szCs w:val="38"/>
          <w:lang w:val="en-US"/>
        </w:rPr>
        <w:t xml:space="preserve">June </w:t>
      </w:r>
      <w:r w:rsidR="002021C2">
        <w:rPr>
          <w:rFonts w:ascii="Calibri" w:eastAsia="Times New Roman" w:hAnsi="Calibri" w:cs="Times New Roman"/>
          <w:b/>
          <w:color w:val="008080"/>
          <w:sz w:val="38"/>
          <w:szCs w:val="38"/>
          <w:lang w:val="en-US"/>
        </w:rPr>
        <w:t xml:space="preserve">2023 </w:t>
      </w:r>
    </w:p>
    <w:tbl>
      <w:tblPr>
        <w:tblStyle w:val="TableGrid"/>
        <w:tblW w:w="15446" w:type="dxa"/>
        <w:tblInd w:w="-289" w:type="dxa"/>
        <w:tblLook w:val="04A0" w:firstRow="1" w:lastRow="0" w:firstColumn="1" w:lastColumn="0" w:noHBand="0" w:noVBand="1"/>
      </w:tblPr>
      <w:tblGrid>
        <w:gridCol w:w="1844"/>
        <w:gridCol w:w="2732"/>
        <w:gridCol w:w="2835"/>
        <w:gridCol w:w="4252"/>
        <w:gridCol w:w="3783"/>
      </w:tblGrid>
      <w:tr w:rsidR="00070503" w14:paraId="166DD44A" w14:textId="77777777" w:rsidTr="003342CD">
        <w:tc>
          <w:tcPr>
            <w:tcW w:w="1844" w:type="dxa"/>
            <w:shd w:val="clear" w:color="auto" w:fill="17365D" w:themeFill="text2" w:themeFillShade="BF"/>
            <w:vAlign w:val="center"/>
          </w:tcPr>
          <w:p w14:paraId="60F0F147" w14:textId="77777777" w:rsidR="00070503" w:rsidRDefault="00070503" w:rsidP="007470F9">
            <w:pPr>
              <w:spacing w:before="60" w:after="60" w:line="240" w:lineRule="atLeast"/>
              <w:jc w:val="center"/>
              <w:rPr>
                <w:rFonts w:ascii="Calibri" w:hAnsi="Calibri"/>
                <w:b/>
                <w:color w:val="FFFFFF" w:themeColor="background1"/>
                <w:szCs w:val="24"/>
              </w:rPr>
            </w:pPr>
            <w:r>
              <w:rPr>
                <w:rFonts w:ascii="Calibri" w:hAnsi="Calibri"/>
                <w:b/>
                <w:i/>
                <w:color w:val="008080"/>
                <w:sz w:val="36"/>
                <w:szCs w:val="38"/>
              </w:rPr>
              <w:br w:type="page"/>
            </w:r>
            <w:r>
              <w:rPr>
                <w:rFonts w:ascii="Calibri" w:hAnsi="Calibri"/>
                <w:b/>
                <w:color w:val="FFFFFF" w:themeColor="background1"/>
                <w:szCs w:val="24"/>
              </w:rPr>
              <w:t xml:space="preserve">Goal 2 strategic objective </w:t>
            </w:r>
          </w:p>
          <w:p w14:paraId="166510A1" w14:textId="77777777" w:rsidR="00070503" w:rsidRDefault="00070503" w:rsidP="00A8375F">
            <w:pPr>
              <w:spacing w:after="120" w:line="240" w:lineRule="auto"/>
              <w:jc w:val="center"/>
              <w:rPr>
                <w:rFonts w:ascii="Calibri" w:hAnsi="Calibri"/>
                <w:color w:val="244061" w:themeColor="accent1" w:themeShade="80"/>
                <w:sz w:val="24"/>
                <w:szCs w:val="24"/>
              </w:rPr>
            </w:pPr>
            <w:r>
              <w:rPr>
                <w:rFonts w:ascii="Calibri" w:hAnsi="Calibri"/>
                <w:color w:val="FFFFFF" w:themeColor="background1"/>
                <w:sz w:val="18"/>
                <w:szCs w:val="24"/>
              </w:rPr>
              <w:t>(INTOSAI SP 2023-28)</w:t>
            </w:r>
          </w:p>
        </w:tc>
        <w:tc>
          <w:tcPr>
            <w:tcW w:w="2732" w:type="dxa"/>
            <w:shd w:val="clear" w:color="auto" w:fill="17365D" w:themeFill="text2" w:themeFillShade="BF"/>
            <w:vAlign w:val="center"/>
          </w:tcPr>
          <w:p w14:paraId="3E3BB02E" w14:textId="77777777" w:rsidR="00070503" w:rsidRPr="00220A61" w:rsidRDefault="00070503" w:rsidP="00070503">
            <w:pPr>
              <w:spacing w:before="60" w:after="60" w:line="240" w:lineRule="atLeast"/>
              <w:jc w:val="center"/>
              <w:rPr>
                <w:rFonts w:ascii="Calibri" w:hAnsi="Calibri"/>
                <w:b/>
                <w:color w:val="FFFFFF" w:themeColor="background1"/>
                <w:szCs w:val="24"/>
              </w:rPr>
            </w:pPr>
            <w:r>
              <w:rPr>
                <w:rFonts w:ascii="Calibri" w:hAnsi="Calibri"/>
                <w:b/>
                <w:color w:val="FFFFFF" w:themeColor="background1"/>
                <w:szCs w:val="24"/>
              </w:rPr>
              <w:t>Workstream objectives      2023-25</w:t>
            </w:r>
          </w:p>
        </w:tc>
        <w:tc>
          <w:tcPr>
            <w:tcW w:w="2835" w:type="dxa"/>
            <w:shd w:val="clear" w:color="auto" w:fill="17365D" w:themeFill="text2" w:themeFillShade="BF"/>
            <w:vAlign w:val="center"/>
          </w:tcPr>
          <w:p w14:paraId="12E29753" w14:textId="77777777" w:rsidR="00070503" w:rsidRDefault="00070503" w:rsidP="00070503">
            <w:pPr>
              <w:spacing w:line="240" w:lineRule="auto"/>
              <w:jc w:val="center"/>
              <w:rPr>
                <w:rFonts w:ascii="Calibri" w:hAnsi="Calibri"/>
                <w:b/>
                <w:color w:val="FFFFFF" w:themeColor="background1"/>
                <w:szCs w:val="24"/>
              </w:rPr>
            </w:pPr>
            <w:r>
              <w:rPr>
                <w:rFonts w:ascii="Calibri" w:hAnsi="Calibri"/>
                <w:b/>
                <w:color w:val="FFFFFF" w:themeColor="background1"/>
                <w:szCs w:val="24"/>
              </w:rPr>
              <w:t xml:space="preserve">Performance </w:t>
            </w:r>
            <w:r w:rsidRPr="00513933">
              <w:rPr>
                <w:rFonts w:ascii="Calibri" w:hAnsi="Calibri"/>
                <w:b/>
                <w:color w:val="FFFFFF" w:themeColor="background1"/>
                <w:szCs w:val="24"/>
              </w:rPr>
              <w:t>indicator</w:t>
            </w:r>
            <w:r>
              <w:rPr>
                <w:rFonts w:ascii="Calibri" w:hAnsi="Calibri"/>
                <w:b/>
                <w:color w:val="FFFFFF" w:themeColor="background1"/>
                <w:szCs w:val="24"/>
              </w:rPr>
              <w:t xml:space="preserve">s </w:t>
            </w:r>
          </w:p>
          <w:p w14:paraId="19D410FD" w14:textId="77777777" w:rsidR="00070503" w:rsidRDefault="00070503" w:rsidP="007470F9">
            <w:pPr>
              <w:spacing w:after="120" w:line="240" w:lineRule="auto"/>
              <w:jc w:val="center"/>
              <w:rPr>
                <w:rFonts w:ascii="Calibri" w:hAnsi="Calibri"/>
                <w:color w:val="244061" w:themeColor="accent1" w:themeShade="80"/>
                <w:sz w:val="24"/>
                <w:szCs w:val="24"/>
              </w:rPr>
            </w:pPr>
            <w:r>
              <w:rPr>
                <w:rFonts w:ascii="Calibri" w:hAnsi="Calibri"/>
                <w:b/>
                <w:color w:val="FFFFFF" w:themeColor="background1"/>
                <w:szCs w:val="24"/>
              </w:rPr>
              <w:t>and target dates</w:t>
            </w:r>
          </w:p>
        </w:tc>
        <w:tc>
          <w:tcPr>
            <w:tcW w:w="4252" w:type="dxa"/>
            <w:shd w:val="clear" w:color="auto" w:fill="17365D" w:themeFill="text2" w:themeFillShade="BF"/>
            <w:vAlign w:val="center"/>
          </w:tcPr>
          <w:p w14:paraId="779C7879" w14:textId="77777777" w:rsidR="00070503" w:rsidRDefault="00070503" w:rsidP="00070503">
            <w:pPr>
              <w:spacing w:after="120" w:line="240" w:lineRule="auto"/>
              <w:jc w:val="center"/>
              <w:rPr>
                <w:rFonts w:ascii="Calibri" w:hAnsi="Calibri"/>
                <w:color w:val="244061" w:themeColor="accent1" w:themeShade="80"/>
                <w:sz w:val="24"/>
                <w:szCs w:val="24"/>
              </w:rPr>
            </w:pPr>
            <w:r w:rsidRPr="005727A3">
              <w:rPr>
                <w:rFonts w:ascii="Calibri" w:hAnsi="Calibri"/>
                <w:b/>
                <w:color w:val="FFFFFF" w:themeColor="background1"/>
                <w:szCs w:val="24"/>
              </w:rPr>
              <w:t>In</w:t>
            </w:r>
            <w:r>
              <w:rPr>
                <w:rFonts w:ascii="Calibri" w:hAnsi="Calibri"/>
                <w:b/>
                <w:color w:val="FFFFFF" w:themeColor="background1"/>
                <w:szCs w:val="24"/>
              </w:rPr>
              <w:t>itiatives/projects/key activities</w:t>
            </w:r>
            <w:r w:rsidRPr="005727A3">
              <w:rPr>
                <w:rFonts w:ascii="Calibri" w:hAnsi="Calibri"/>
                <w:b/>
                <w:color w:val="FFFFFF" w:themeColor="background1"/>
                <w:szCs w:val="24"/>
              </w:rPr>
              <w:t xml:space="preserve"> </w:t>
            </w:r>
            <w:r>
              <w:rPr>
                <w:rFonts w:ascii="Calibri" w:hAnsi="Calibri"/>
                <w:b/>
                <w:color w:val="FFFFFF" w:themeColor="background1"/>
                <w:szCs w:val="24"/>
              </w:rPr>
              <w:t xml:space="preserve"> </w:t>
            </w:r>
          </w:p>
        </w:tc>
        <w:tc>
          <w:tcPr>
            <w:tcW w:w="3783" w:type="dxa"/>
            <w:shd w:val="clear" w:color="auto" w:fill="215868" w:themeFill="accent5" w:themeFillShade="80"/>
            <w:vAlign w:val="center"/>
          </w:tcPr>
          <w:p w14:paraId="48C6AD7F" w14:textId="77777777" w:rsidR="00070503" w:rsidRDefault="00070503" w:rsidP="00070503">
            <w:pPr>
              <w:spacing w:after="40" w:line="240" w:lineRule="auto"/>
              <w:jc w:val="center"/>
              <w:rPr>
                <w:rFonts w:ascii="Calibri" w:hAnsi="Calibri"/>
                <w:b/>
                <w:color w:val="FFFFFF" w:themeColor="background1"/>
                <w:szCs w:val="24"/>
              </w:rPr>
            </w:pPr>
            <w:r>
              <w:rPr>
                <w:rFonts w:ascii="Calibri" w:hAnsi="Calibri"/>
                <w:b/>
                <w:color w:val="FFFFFF" w:themeColor="background1"/>
                <w:szCs w:val="24"/>
              </w:rPr>
              <w:t xml:space="preserve">Progress </w:t>
            </w:r>
          </w:p>
          <w:p w14:paraId="08FABE93" w14:textId="77777777" w:rsidR="00070503" w:rsidRPr="00070503" w:rsidRDefault="00070503" w:rsidP="00070503">
            <w:pPr>
              <w:spacing w:after="120" w:line="240" w:lineRule="auto"/>
              <w:jc w:val="center"/>
              <w:rPr>
                <w:rFonts w:ascii="Calibri" w:hAnsi="Calibri"/>
                <w:color w:val="FFFFFF" w:themeColor="background1"/>
                <w:szCs w:val="24"/>
              </w:rPr>
            </w:pPr>
            <w:r>
              <w:rPr>
                <w:rFonts w:ascii="Calibri" w:hAnsi="Calibri"/>
                <w:color w:val="FFFFFF" w:themeColor="background1"/>
                <w:szCs w:val="24"/>
              </w:rPr>
              <w:t xml:space="preserve">(this is completed annually for purposes of reporting to the CBC Steering </w:t>
            </w:r>
            <w:proofErr w:type="gramStart"/>
            <w:r>
              <w:rPr>
                <w:rFonts w:ascii="Calibri" w:hAnsi="Calibri"/>
                <w:color w:val="FFFFFF" w:themeColor="background1"/>
                <w:szCs w:val="24"/>
              </w:rPr>
              <w:t>Committee )</w:t>
            </w:r>
            <w:proofErr w:type="gramEnd"/>
            <w:r>
              <w:rPr>
                <w:rFonts w:ascii="Calibri" w:hAnsi="Calibri"/>
                <w:color w:val="FFFFFF" w:themeColor="background1"/>
                <w:szCs w:val="24"/>
              </w:rPr>
              <w:t xml:space="preserve"> </w:t>
            </w:r>
          </w:p>
        </w:tc>
      </w:tr>
      <w:tr w:rsidR="00626577" w:rsidRPr="0084525B" w14:paraId="778C7255" w14:textId="77777777" w:rsidTr="00FF10D3">
        <w:trPr>
          <w:trHeight w:val="1594"/>
        </w:trPr>
        <w:tc>
          <w:tcPr>
            <w:tcW w:w="1844" w:type="dxa"/>
            <w:vAlign w:val="center"/>
          </w:tcPr>
          <w:p w14:paraId="0C2A3DC9" w14:textId="4D4E852C" w:rsidR="00626577" w:rsidRPr="00913813" w:rsidRDefault="00D011D8" w:rsidP="0084525B">
            <w:pPr>
              <w:spacing w:before="480" w:after="360"/>
              <w:rPr>
                <w:rFonts w:asciiTheme="minorHAnsi" w:hAnsiTheme="minorHAnsi" w:cstheme="minorHAnsi"/>
                <w:color w:val="222222"/>
                <w:sz w:val="16"/>
                <w:szCs w:val="16"/>
              </w:rPr>
            </w:pPr>
            <w:r w:rsidRPr="00913813">
              <w:rPr>
                <w:rFonts w:asciiTheme="minorHAnsi" w:hAnsiTheme="minorHAnsi" w:cstheme="minorHAnsi"/>
                <w:color w:val="222222"/>
                <w:sz w:val="16"/>
                <w:szCs w:val="16"/>
              </w:rPr>
              <w:t>General - r</w:t>
            </w:r>
            <w:r w:rsidR="007E7A76" w:rsidRPr="00913813">
              <w:rPr>
                <w:rFonts w:asciiTheme="minorHAnsi" w:hAnsiTheme="minorHAnsi" w:cstheme="minorHAnsi"/>
                <w:color w:val="222222"/>
                <w:sz w:val="16"/>
                <w:szCs w:val="16"/>
              </w:rPr>
              <w:t>efocus of TFIAP strategy post adoption of ISSAI 150 and related guidance</w:t>
            </w:r>
          </w:p>
        </w:tc>
        <w:tc>
          <w:tcPr>
            <w:tcW w:w="2732" w:type="dxa"/>
            <w:vAlign w:val="center"/>
          </w:tcPr>
          <w:p w14:paraId="4B911066" w14:textId="73ACEA9B" w:rsidR="00626577" w:rsidRPr="00913813" w:rsidRDefault="007C16A5" w:rsidP="0084525B">
            <w:pPr>
              <w:rPr>
                <w:rFonts w:asciiTheme="minorHAnsi" w:hAnsiTheme="minorHAnsi" w:cstheme="minorHAnsi"/>
                <w:color w:val="222222"/>
                <w:sz w:val="16"/>
                <w:szCs w:val="16"/>
              </w:rPr>
            </w:pPr>
            <w:r w:rsidRPr="00913813">
              <w:rPr>
                <w:rFonts w:asciiTheme="minorHAnsi" w:hAnsiTheme="minorHAnsi" w:cstheme="minorHAnsi"/>
                <w:color w:val="222222"/>
                <w:sz w:val="16"/>
                <w:szCs w:val="16"/>
              </w:rPr>
              <w:t xml:space="preserve">1. </w:t>
            </w:r>
            <w:r w:rsidR="00041A7F" w:rsidRPr="00913813">
              <w:rPr>
                <w:rFonts w:asciiTheme="minorHAnsi" w:hAnsiTheme="minorHAnsi" w:cstheme="minorHAnsi"/>
                <w:color w:val="222222"/>
                <w:sz w:val="16"/>
                <w:szCs w:val="16"/>
              </w:rPr>
              <w:t xml:space="preserve">Engage with relevant players in the INTOSAI auditor </w:t>
            </w:r>
            <w:proofErr w:type="spellStart"/>
            <w:r w:rsidR="00041A7F" w:rsidRPr="00913813">
              <w:rPr>
                <w:rFonts w:asciiTheme="minorHAnsi" w:hAnsiTheme="minorHAnsi" w:cstheme="minorHAnsi"/>
                <w:color w:val="222222"/>
                <w:sz w:val="16"/>
                <w:szCs w:val="16"/>
              </w:rPr>
              <w:t>professionalisation</w:t>
            </w:r>
            <w:proofErr w:type="spellEnd"/>
            <w:r w:rsidR="00041A7F" w:rsidRPr="00913813">
              <w:rPr>
                <w:rFonts w:asciiTheme="minorHAnsi" w:hAnsiTheme="minorHAnsi" w:cstheme="minorHAnsi"/>
                <w:color w:val="222222"/>
                <w:sz w:val="16"/>
                <w:szCs w:val="16"/>
              </w:rPr>
              <w:t xml:space="preserve"> arena to redraft</w:t>
            </w:r>
            <w:r w:rsidR="00A65635" w:rsidRPr="00913813">
              <w:rPr>
                <w:rFonts w:asciiTheme="minorHAnsi" w:hAnsiTheme="minorHAnsi" w:cstheme="minorHAnsi"/>
                <w:color w:val="222222"/>
                <w:sz w:val="16"/>
                <w:szCs w:val="16"/>
              </w:rPr>
              <w:t xml:space="preserve"> the terms of reference for the TFIAP and formalize a work plan, followed by a process of reconfirming membership of current TFIAP members and </w:t>
            </w:r>
            <w:proofErr w:type="gramStart"/>
            <w:r w:rsidR="00A65635" w:rsidRPr="00913813">
              <w:rPr>
                <w:rFonts w:asciiTheme="minorHAnsi" w:hAnsiTheme="minorHAnsi" w:cstheme="minorHAnsi"/>
                <w:color w:val="222222"/>
                <w:sz w:val="16"/>
                <w:szCs w:val="16"/>
              </w:rPr>
              <w:t>opening up</w:t>
            </w:r>
            <w:proofErr w:type="gramEnd"/>
            <w:r w:rsidRPr="00913813">
              <w:rPr>
                <w:rFonts w:asciiTheme="minorHAnsi" w:hAnsiTheme="minorHAnsi" w:cstheme="minorHAnsi"/>
                <w:color w:val="222222"/>
                <w:sz w:val="16"/>
                <w:szCs w:val="16"/>
              </w:rPr>
              <w:t xml:space="preserve"> nominations for new members.</w:t>
            </w:r>
          </w:p>
        </w:tc>
        <w:tc>
          <w:tcPr>
            <w:tcW w:w="2835" w:type="dxa"/>
            <w:shd w:val="clear" w:color="auto" w:fill="FFFFFF" w:themeFill="background1"/>
            <w:vAlign w:val="center"/>
          </w:tcPr>
          <w:p w14:paraId="172F04BB" w14:textId="01C3B508" w:rsidR="00626577" w:rsidRPr="00913813" w:rsidRDefault="00E916F9" w:rsidP="0084525B">
            <w:pPr>
              <w:rPr>
                <w:rFonts w:asciiTheme="minorHAnsi" w:hAnsiTheme="minorHAnsi" w:cstheme="minorHAnsi"/>
                <w:color w:val="222222"/>
                <w:sz w:val="16"/>
                <w:szCs w:val="16"/>
              </w:rPr>
            </w:pPr>
            <w:r w:rsidRPr="00913813">
              <w:rPr>
                <w:rFonts w:asciiTheme="minorHAnsi" w:hAnsiTheme="minorHAnsi" w:cstheme="minorHAnsi"/>
                <w:color w:val="222222"/>
                <w:sz w:val="16"/>
                <w:szCs w:val="16"/>
              </w:rPr>
              <w:t>Recrafted terms of reference and work-plan</w:t>
            </w:r>
            <w:r w:rsidR="009E7761" w:rsidRPr="00913813">
              <w:rPr>
                <w:rFonts w:asciiTheme="minorHAnsi" w:hAnsiTheme="minorHAnsi" w:cstheme="minorHAnsi"/>
                <w:color w:val="222222"/>
                <w:sz w:val="16"/>
                <w:szCs w:val="16"/>
              </w:rPr>
              <w:t xml:space="preserve"> by June 2023, to allow for confirmation of new membership, ready to allow for a first formal TFIAP meeting in September 2023</w:t>
            </w:r>
            <w:r w:rsidR="001045AC" w:rsidRPr="00913813">
              <w:rPr>
                <w:rFonts w:asciiTheme="minorHAnsi" w:hAnsiTheme="minorHAnsi" w:cstheme="minorHAnsi"/>
                <w:color w:val="222222"/>
                <w:sz w:val="16"/>
                <w:szCs w:val="16"/>
              </w:rPr>
              <w:t>.</w:t>
            </w:r>
          </w:p>
        </w:tc>
        <w:tc>
          <w:tcPr>
            <w:tcW w:w="4252" w:type="dxa"/>
            <w:vAlign w:val="center"/>
          </w:tcPr>
          <w:p w14:paraId="66826BB0" w14:textId="3226C34F" w:rsidR="00626577" w:rsidRPr="00913813" w:rsidRDefault="00F11339" w:rsidP="00D212D1">
            <w:pPr>
              <w:pStyle w:val="ListParagraph"/>
              <w:numPr>
                <w:ilvl w:val="1"/>
                <w:numId w:val="33"/>
              </w:numPr>
              <w:rPr>
                <w:rFonts w:asciiTheme="minorHAnsi" w:hAnsiTheme="minorHAnsi" w:cstheme="minorHAnsi"/>
                <w:color w:val="222222"/>
                <w:sz w:val="16"/>
                <w:szCs w:val="16"/>
              </w:rPr>
            </w:pPr>
            <w:r w:rsidRPr="00913813">
              <w:rPr>
                <w:rFonts w:asciiTheme="minorHAnsi" w:hAnsiTheme="minorHAnsi" w:cstheme="minorHAnsi"/>
                <w:color w:val="222222"/>
                <w:sz w:val="16"/>
                <w:szCs w:val="16"/>
              </w:rPr>
              <w:t xml:space="preserve">Redrafted </w:t>
            </w:r>
            <w:r w:rsidR="00D212D1" w:rsidRPr="00913813">
              <w:rPr>
                <w:rFonts w:asciiTheme="minorHAnsi" w:hAnsiTheme="minorHAnsi" w:cstheme="minorHAnsi"/>
                <w:color w:val="222222"/>
                <w:sz w:val="16"/>
                <w:szCs w:val="16"/>
              </w:rPr>
              <w:t>terms of reference</w:t>
            </w:r>
            <w:r w:rsidR="001045AC" w:rsidRPr="00913813">
              <w:rPr>
                <w:rFonts w:asciiTheme="minorHAnsi" w:hAnsiTheme="minorHAnsi" w:cstheme="minorHAnsi"/>
                <w:color w:val="222222"/>
                <w:sz w:val="16"/>
                <w:szCs w:val="16"/>
              </w:rPr>
              <w:t>,</w:t>
            </w:r>
          </w:p>
          <w:p w14:paraId="53CA86C8" w14:textId="77777777" w:rsidR="00635CFA" w:rsidRPr="00913813" w:rsidRDefault="00635CFA" w:rsidP="00635CFA">
            <w:pPr>
              <w:pStyle w:val="ListParagraph"/>
              <w:ind w:left="360"/>
              <w:rPr>
                <w:rFonts w:asciiTheme="minorHAnsi" w:hAnsiTheme="minorHAnsi" w:cstheme="minorHAnsi"/>
                <w:color w:val="222222"/>
                <w:sz w:val="16"/>
                <w:szCs w:val="16"/>
              </w:rPr>
            </w:pPr>
          </w:p>
          <w:p w14:paraId="78BAB84C" w14:textId="7F3219B7" w:rsidR="007D6F88" w:rsidRPr="00913813" w:rsidRDefault="00D212D1" w:rsidP="00D212D1">
            <w:pPr>
              <w:pStyle w:val="ListParagraph"/>
              <w:numPr>
                <w:ilvl w:val="1"/>
                <w:numId w:val="33"/>
              </w:numPr>
              <w:rPr>
                <w:rFonts w:asciiTheme="minorHAnsi" w:hAnsiTheme="minorHAnsi" w:cstheme="minorHAnsi"/>
                <w:color w:val="222222"/>
                <w:sz w:val="16"/>
                <w:szCs w:val="16"/>
              </w:rPr>
            </w:pPr>
            <w:r w:rsidRPr="00913813">
              <w:rPr>
                <w:rFonts w:asciiTheme="minorHAnsi" w:hAnsiTheme="minorHAnsi" w:cstheme="minorHAnsi"/>
                <w:color w:val="222222"/>
                <w:sz w:val="16"/>
                <w:szCs w:val="16"/>
              </w:rPr>
              <w:t>New workplan (2023 to 2025)</w:t>
            </w:r>
            <w:r w:rsidR="001045AC" w:rsidRPr="00913813">
              <w:rPr>
                <w:rFonts w:asciiTheme="minorHAnsi" w:hAnsiTheme="minorHAnsi" w:cstheme="minorHAnsi"/>
                <w:color w:val="222222"/>
                <w:sz w:val="16"/>
                <w:szCs w:val="16"/>
              </w:rPr>
              <w:t xml:space="preserve">, </w:t>
            </w:r>
          </w:p>
          <w:p w14:paraId="1F832606" w14:textId="77777777" w:rsidR="00635CFA" w:rsidRPr="00913813" w:rsidRDefault="00635CFA" w:rsidP="00635CFA">
            <w:pPr>
              <w:pStyle w:val="ListParagraph"/>
              <w:ind w:left="360"/>
              <w:rPr>
                <w:rFonts w:asciiTheme="minorHAnsi" w:hAnsiTheme="minorHAnsi" w:cstheme="minorHAnsi"/>
                <w:color w:val="222222"/>
                <w:sz w:val="16"/>
                <w:szCs w:val="16"/>
              </w:rPr>
            </w:pPr>
          </w:p>
          <w:p w14:paraId="1C1CBE17" w14:textId="73BAF3CC" w:rsidR="007D6F88" w:rsidRPr="00913813" w:rsidRDefault="007D6F88" w:rsidP="00D212D1">
            <w:pPr>
              <w:pStyle w:val="ListParagraph"/>
              <w:numPr>
                <w:ilvl w:val="1"/>
                <w:numId w:val="33"/>
              </w:numPr>
              <w:rPr>
                <w:rFonts w:asciiTheme="minorHAnsi" w:hAnsiTheme="minorHAnsi" w:cstheme="minorHAnsi"/>
                <w:color w:val="222222"/>
                <w:sz w:val="16"/>
                <w:szCs w:val="16"/>
              </w:rPr>
            </w:pPr>
            <w:r w:rsidRPr="00913813">
              <w:rPr>
                <w:rFonts w:asciiTheme="minorHAnsi" w:hAnsiTheme="minorHAnsi" w:cstheme="minorHAnsi"/>
                <w:color w:val="222222"/>
                <w:sz w:val="16"/>
                <w:szCs w:val="16"/>
              </w:rPr>
              <w:t>Reconfirmed membership list for TFIAP</w:t>
            </w:r>
            <w:r w:rsidR="001045AC" w:rsidRPr="00913813">
              <w:rPr>
                <w:rFonts w:asciiTheme="minorHAnsi" w:hAnsiTheme="minorHAnsi" w:cstheme="minorHAnsi"/>
                <w:color w:val="222222"/>
                <w:sz w:val="16"/>
                <w:szCs w:val="16"/>
              </w:rPr>
              <w:t>, and</w:t>
            </w:r>
          </w:p>
          <w:p w14:paraId="6200E51A" w14:textId="77777777" w:rsidR="00635CFA" w:rsidRPr="00913813" w:rsidRDefault="00635CFA" w:rsidP="00635CFA">
            <w:pPr>
              <w:pStyle w:val="ListParagraph"/>
              <w:ind w:left="360"/>
              <w:rPr>
                <w:rFonts w:asciiTheme="minorHAnsi" w:hAnsiTheme="minorHAnsi" w:cstheme="minorHAnsi"/>
                <w:color w:val="222222"/>
                <w:sz w:val="16"/>
                <w:szCs w:val="16"/>
              </w:rPr>
            </w:pPr>
          </w:p>
          <w:p w14:paraId="01D52E16" w14:textId="230A9554" w:rsidR="00D212D1" w:rsidRPr="00913813" w:rsidRDefault="007D6F88" w:rsidP="00D212D1">
            <w:pPr>
              <w:pStyle w:val="ListParagraph"/>
              <w:numPr>
                <w:ilvl w:val="1"/>
                <w:numId w:val="33"/>
              </w:numPr>
              <w:rPr>
                <w:rFonts w:asciiTheme="minorHAnsi" w:hAnsiTheme="minorHAnsi" w:cstheme="minorHAnsi"/>
                <w:color w:val="222222"/>
                <w:sz w:val="16"/>
                <w:szCs w:val="16"/>
              </w:rPr>
            </w:pPr>
            <w:r w:rsidRPr="00913813">
              <w:rPr>
                <w:rFonts w:asciiTheme="minorHAnsi" w:hAnsiTheme="minorHAnsi" w:cstheme="minorHAnsi"/>
                <w:color w:val="222222"/>
                <w:sz w:val="16"/>
                <w:szCs w:val="16"/>
              </w:rPr>
              <w:t xml:space="preserve">Preparations for first formal 2023 </w:t>
            </w:r>
            <w:r w:rsidR="00383A1F" w:rsidRPr="00913813">
              <w:rPr>
                <w:rFonts w:asciiTheme="minorHAnsi" w:hAnsiTheme="minorHAnsi" w:cstheme="minorHAnsi"/>
                <w:color w:val="222222"/>
                <w:sz w:val="16"/>
                <w:szCs w:val="16"/>
              </w:rPr>
              <w:t xml:space="preserve">virtual </w:t>
            </w:r>
            <w:r w:rsidRPr="00913813">
              <w:rPr>
                <w:rFonts w:asciiTheme="minorHAnsi" w:hAnsiTheme="minorHAnsi" w:cstheme="minorHAnsi"/>
                <w:color w:val="222222"/>
                <w:sz w:val="16"/>
                <w:szCs w:val="16"/>
              </w:rPr>
              <w:t>TFIAP</w:t>
            </w:r>
            <w:r w:rsidR="00383A1F" w:rsidRPr="00913813">
              <w:rPr>
                <w:rFonts w:asciiTheme="minorHAnsi" w:hAnsiTheme="minorHAnsi" w:cstheme="minorHAnsi"/>
                <w:color w:val="222222"/>
                <w:sz w:val="16"/>
                <w:szCs w:val="16"/>
              </w:rPr>
              <w:t xml:space="preserve"> meeting (September 2023)</w:t>
            </w:r>
            <w:r w:rsidR="001045AC" w:rsidRPr="00913813">
              <w:rPr>
                <w:rFonts w:asciiTheme="minorHAnsi" w:hAnsiTheme="minorHAnsi" w:cstheme="minorHAnsi"/>
                <w:color w:val="222222"/>
                <w:sz w:val="16"/>
                <w:szCs w:val="16"/>
              </w:rPr>
              <w:t>.</w:t>
            </w:r>
          </w:p>
        </w:tc>
        <w:tc>
          <w:tcPr>
            <w:tcW w:w="3783" w:type="dxa"/>
            <w:shd w:val="clear" w:color="auto" w:fill="92D050"/>
            <w:vAlign w:val="center"/>
          </w:tcPr>
          <w:p w14:paraId="6A55C5A6" w14:textId="5066C7C3" w:rsidR="00626577" w:rsidRPr="00913813" w:rsidRDefault="00FF10D3" w:rsidP="00FF10D3">
            <w:pPr>
              <w:rPr>
                <w:rFonts w:asciiTheme="minorHAnsi" w:hAnsiTheme="minorHAnsi" w:cstheme="minorHAnsi"/>
                <w:color w:val="222222"/>
                <w:sz w:val="16"/>
                <w:szCs w:val="16"/>
              </w:rPr>
            </w:pPr>
            <w:r w:rsidRPr="00913813">
              <w:rPr>
                <w:rFonts w:asciiTheme="minorHAnsi" w:hAnsiTheme="minorHAnsi" w:cstheme="minorHAnsi"/>
                <w:color w:val="222222"/>
                <w:sz w:val="16"/>
                <w:szCs w:val="16"/>
              </w:rPr>
              <w:t>Rework of terms of reference and crafting of draft workplan completed. Work to reconfirm membership</w:t>
            </w:r>
            <w:r w:rsidR="00B67037" w:rsidRPr="00913813">
              <w:rPr>
                <w:rFonts w:asciiTheme="minorHAnsi" w:hAnsiTheme="minorHAnsi" w:cstheme="minorHAnsi"/>
                <w:color w:val="222222"/>
                <w:sz w:val="16"/>
                <w:szCs w:val="16"/>
              </w:rPr>
              <w:t xml:space="preserve"> underway and on track.</w:t>
            </w:r>
          </w:p>
        </w:tc>
      </w:tr>
      <w:tr w:rsidR="00B86C68" w14:paraId="225249F3" w14:textId="77777777" w:rsidTr="00B67037">
        <w:trPr>
          <w:trHeight w:val="1594"/>
        </w:trPr>
        <w:tc>
          <w:tcPr>
            <w:tcW w:w="1844" w:type="dxa"/>
            <w:vMerge w:val="restart"/>
            <w:vAlign w:val="center"/>
          </w:tcPr>
          <w:p w14:paraId="0E75C7EB" w14:textId="141B9BD3" w:rsidR="00B86C68" w:rsidRPr="00913813" w:rsidRDefault="00B86C68" w:rsidP="0084525B">
            <w:pPr>
              <w:spacing w:before="480" w:after="360"/>
              <w:rPr>
                <w:rFonts w:asciiTheme="minorHAnsi" w:hAnsiTheme="minorHAnsi" w:cstheme="minorHAnsi"/>
                <w:b/>
                <w:color w:val="222222"/>
                <w:sz w:val="16"/>
                <w:szCs w:val="16"/>
              </w:rPr>
            </w:pPr>
            <w:r w:rsidRPr="00913813">
              <w:rPr>
                <w:rFonts w:asciiTheme="minorHAnsi" w:hAnsiTheme="minorHAnsi" w:cstheme="minorHAnsi"/>
                <w:color w:val="222222"/>
                <w:sz w:val="16"/>
                <w:szCs w:val="16"/>
              </w:rPr>
              <w:t xml:space="preserve">Promote, facilitate and implement INTOSAI-wide initiatives in support of SAI capacity development        </w:t>
            </w:r>
            <w:proofErr w:type="gramStart"/>
            <w:r w:rsidRPr="00913813">
              <w:rPr>
                <w:rFonts w:asciiTheme="minorHAnsi" w:hAnsiTheme="minorHAnsi" w:cstheme="minorHAnsi"/>
                <w:color w:val="222222"/>
                <w:sz w:val="16"/>
                <w:szCs w:val="16"/>
              </w:rPr>
              <w:t xml:space="preserve">   </w:t>
            </w:r>
            <w:r w:rsidRPr="00913813">
              <w:rPr>
                <w:rFonts w:asciiTheme="minorHAnsi" w:hAnsiTheme="minorHAnsi" w:cstheme="minorHAnsi"/>
                <w:b/>
                <w:color w:val="222222"/>
                <w:sz w:val="16"/>
                <w:szCs w:val="16"/>
              </w:rPr>
              <w:t>[</w:t>
            </w:r>
            <w:proofErr w:type="gramEnd"/>
            <w:r w:rsidRPr="00913813">
              <w:rPr>
                <w:rFonts w:asciiTheme="minorHAnsi" w:hAnsiTheme="minorHAnsi" w:cstheme="minorHAnsi"/>
                <w:b/>
                <w:color w:val="222222"/>
                <w:sz w:val="16"/>
                <w:szCs w:val="16"/>
              </w:rPr>
              <w:t>INTOSAI Strategic Objective 2.1]</w:t>
            </w:r>
          </w:p>
          <w:p w14:paraId="3E65A843" w14:textId="55D14C10" w:rsidR="00B86C68" w:rsidRPr="00913813" w:rsidRDefault="00B86C68" w:rsidP="0084525B">
            <w:pPr>
              <w:spacing w:before="480" w:after="360"/>
              <w:rPr>
                <w:rFonts w:asciiTheme="minorHAnsi" w:hAnsiTheme="minorHAnsi" w:cstheme="minorHAnsi"/>
                <w:b/>
                <w:color w:val="222222"/>
                <w:sz w:val="16"/>
                <w:szCs w:val="16"/>
              </w:rPr>
            </w:pPr>
            <w:r w:rsidRPr="00913813">
              <w:rPr>
                <w:rFonts w:asciiTheme="minorHAnsi" w:hAnsiTheme="minorHAnsi" w:cstheme="minorHAnsi"/>
                <w:sz w:val="16"/>
                <w:szCs w:val="16"/>
              </w:rPr>
              <w:lastRenderedPageBreak/>
              <w:t xml:space="preserve">Strategically partner, inside and outside INTOSAI in support of SAI professionalism, auditor professionalization and SAI’s ability to meet future challenges </w:t>
            </w:r>
            <w:r w:rsidRPr="00913813">
              <w:rPr>
                <w:rFonts w:asciiTheme="minorHAnsi" w:hAnsiTheme="minorHAnsi" w:cstheme="minorHAnsi"/>
                <w:b/>
                <w:color w:val="222222"/>
                <w:sz w:val="16"/>
                <w:szCs w:val="16"/>
              </w:rPr>
              <w:t xml:space="preserve">[INTOSAI Strategic Objective 2.2] </w:t>
            </w:r>
          </w:p>
          <w:p w14:paraId="60A9EC82" w14:textId="06B8D085" w:rsidR="00B86C68" w:rsidRPr="00913813" w:rsidRDefault="00B86C68" w:rsidP="003053D9">
            <w:pPr>
              <w:spacing w:before="480" w:after="360"/>
              <w:rPr>
                <w:rFonts w:asciiTheme="minorHAnsi" w:hAnsiTheme="minorHAnsi" w:cstheme="minorHAnsi"/>
                <w:sz w:val="16"/>
                <w:szCs w:val="16"/>
              </w:rPr>
            </w:pPr>
            <w:r w:rsidRPr="00913813">
              <w:rPr>
                <w:rFonts w:asciiTheme="minorHAnsi" w:hAnsiTheme="minorHAnsi" w:cstheme="minorHAnsi"/>
                <w:color w:val="222222"/>
                <w:sz w:val="16"/>
                <w:szCs w:val="16"/>
              </w:rPr>
              <w:t xml:space="preserve">Share capacity development insights and practices, and facilitate dialogue on capacity development challenges and opportunities   </w:t>
            </w:r>
            <w:proofErr w:type="gramStart"/>
            <w:r w:rsidRPr="00913813">
              <w:rPr>
                <w:rFonts w:asciiTheme="minorHAnsi" w:hAnsiTheme="minorHAnsi" w:cstheme="minorHAnsi"/>
                <w:color w:val="222222"/>
                <w:sz w:val="16"/>
                <w:szCs w:val="16"/>
              </w:rPr>
              <w:t xml:space="preserve">   </w:t>
            </w:r>
            <w:r w:rsidRPr="00913813">
              <w:rPr>
                <w:rFonts w:asciiTheme="minorHAnsi" w:hAnsiTheme="minorHAnsi" w:cstheme="minorHAnsi"/>
                <w:b/>
                <w:color w:val="222222"/>
                <w:sz w:val="16"/>
                <w:szCs w:val="16"/>
              </w:rPr>
              <w:t>[</w:t>
            </w:r>
            <w:proofErr w:type="gramEnd"/>
            <w:r w:rsidRPr="00913813">
              <w:rPr>
                <w:rFonts w:asciiTheme="minorHAnsi" w:hAnsiTheme="minorHAnsi" w:cstheme="minorHAnsi"/>
                <w:b/>
                <w:color w:val="222222"/>
                <w:sz w:val="16"/>
                <w:szCs w:val="16"/>
              </w:rPr>
              <w:t>INTOSAI Strategic Objective 2.3]</w:t>
            </w:r>
          </w:p>
        </w:tc>
        <w:tc>
          <w:tcPr>
            <w:tcW w:w="2732" w:type="dxa"/>
            <w:vAlign w:val="center"/>
          </w:tcPr>
          <w:p w14:paraId="71E331F5" w14:textId="718D2EBE" w:rsidR="00B86C68" w:rsidRPr="00913813" w:rsidRDefault="00B86C68" w:rsidP="00722286">
            <w:pPr>
              <w:spacing w:before="120" w:after="120" w:line="240" w:lineRule="atLeast"/>
              <w:rPr>
                <w:rFonts w:asciiTheme="minorHAnsi" w:hAnsiTheme="minorHAnsi" w:cstheme="minorHAnsi"/>
                <w:iCs/>
                <w:sz w:val="16"/>
                <w:szCs w:val="16"/>
                <w:lang w:val="en-ZA"/>
              </w:rPr>
            </w:pPr>
            <w:r w:rsidRPr="00913813">
              <w:rPr>
                <w:rFonts w:asciiTheme="minorHAnsi" w:hAnsiTheme="minorHAnsi" w:cstheme="minorHAnsi"/>
                <w:iCs/>
                <w:sz w:val="16"/>
                <w:szCs w:val="16"/>
                <w:lang w:val="en-ZA"/>
              </w:rPr>
              <w:lastRenderedPageBreak/>
              <w:t>2. Participate in global stock-taking activities relating to auditor professionalisation (especially in the context of ISSAI 150 and its related guidance) to continuously inform the work-plans of the TFIAP and the INTOSAI CBC.</w:t>
            </w:r>
          </w:p>
        </w:tc>
        <w:tc>
          <w:tcPr>
            <w:tcW w:w="2835" w:type="dxa"/>
            <w:shd w:val="clear" w:color="auto" w:fill="FFFFFF" w:themeFill="background1"/>
            <w:vAlign w:val="center"/>
          </w:tcPr>
          <w:p w14:paraId="0D840536" w14:textId="7235467F" w:rsidR="00B86C68" w:rsidRPr="00913813" w:rsidRDefault="00B86C68" w:rsidP="0084525B">
            <w:pPr>
              <w:spacing w:line="276" w:lineRule="auto"/>
              <w:rPr>
                <w:rFonts w:asciiTheme="minorHAnsi" w:hAnsiTheme="minorHAnsi" w:cstheme="minorHAnsi"/>
                <w:color w:val="222222"/>
                <w:sz w:val="16"/>
                <w:szCs w:val="16"/>
              </w:rPr>
            </w:pPr>
            <w:r w:rsidRPr="00913813">
              <w:rPr>
                <w:rFonts w:asciiTheme="minorHAnsi" w:hAnsiTheme="minorHAnsi" w:cstheme="minorHAnsi"/>
                <w:color w:val="222222"/>
                <w:sz w:val="16"/>
                <w:szCs w:val="16"/>
              </w:rPr>
              <w:t xml:space="preserve">Inputs on planned 2023 INTOSAI Global Survey, ensuring alignment between ISSAI 150 and its related guidance documents, and questions in global survey dealing with auditor </w:t>
            </w:r>
            <w:proofErr w:type="spellStart"/>
            <w:r w:rsidRPr="00913813">
              <w:rPr>
                <w:rFonts w:asciiTheme="minorHAnsi" w:hAnsiTheme="minorHAnsi" w:cstheme="minorHAnsi"/>
                <w:color w:val="222222"/>
                <w:sz w:val="16"/>
                <w:szCs w:val="16"/>
              </w:rPr>
              <w:t>professionalisation</w:t>
            </w:r>
            <w:proofErr w:type="spellEnd"/>
            <w:r w:rsidRPr="00913813">
              <w:rPr>
                <w:rFonts w:asciiTheme="minorHAnsi" w:hAnsiTheme="minorHAnsi" w:cstheme="minorHAnsi"/>
                <w:color w:val="222222"/>
                <w:sz w:val="16"/>
                <w:szCs w:val="16"/>
              </w:rPr>
              <w:t>, competence development and human resource practices (May 2023</w:t>
            </w:r>
            <w:r w:rsidR="004F6E01" w:rsidRPr="00913813">
              <w:rPr>
                <w:rFonts w:asciiTheme="minorHAnsi" w:hAnsiTheme="minorHAnsi" w:cstheme="minorHAnsi"/>
                <w:color w:val="222222"/>
                <w:sz w:val="16"/>
                <w:szCs w:val="16"/>
              </w:rPr>
              <w:t>)</w:t>
            </w:r>
            <w:r w:rsidR="00C474F0" w:rsidRPr="00913813">
              <w:rPr>
                <w:rFonts w:asciiTheme="minorHAnsi" w:hAnsiTheme="minorHAnsi" w:cstheme="minorHAnsi"/>
                <w:color w:val="222222"/>
                <w:sz w:val="16"/>
                <w:szCs w:val="16"/>
              </w:rPr>
              <w:t>, and</w:t>
            </w:r>
          </w:p>
          <w:p w14:paraId="5783719B" w14:textId="77777777" w:rsidR="00B86C68" w:rsidRPr="00913813" w:rsidRDefault="00B86C68" w:rsidP="0084525B">
            <w:pPr>
              <w:spacing w:line="276" w:lineRule="auto"/>
              <w:rPr>
                <w:rFonts w:asciiTheme="minorHAnsi" w:hAnsiTheme="minorHAnsi" w:cstheme="minorHAnsi"/>
                <w:color w:val="222222"/>
                <w:sz w:val="16"/>
                <w:szCs w:val="16"/>
              </w:rPr>
            </w:pPr>
          </w:p>
          <w:p w14:paraId="34007213" w14:textId="22D865BB" w:rsidR="00B86C68" w:rsidRPr="00913813" w:rsidRDefault="00B86C68" w:rsidP="0084525B">
            <w:pPr>
              <w:spacing w:line="276" w:lineRule="auto"/>
              <w:rPr>
                <w:rFonts w:asciiTheme="minorHAnsi" w:hAnsiTheme="minorHAnsi" w:cstheme="minorHAnsi"/>
                <w:color w:val="222222"/>
                <w:sz w:val="16"/>
                <w:szCs w:val="16"/>
              </w:rPr>
            </w:pPr>
            <w:r w:rsidRPr="00913813">
              <w:rPr>
                <w:rFonts w:asciiTheme="minorHAnsi" w:hAnsiTheme="minorHAnsi" w:cstheme="minorHAnsi"/>
                <w:color w:val="222222"/>
                <w:sz w:val="16"/>
                <w:szCs w:val="16"/>
              </w:rPr>
              <w:t>Analysis of outcomes of Global Survey and related update of TFIAP workplans (within 3 months of availability of report)</w:t>
            </w:r>
            <w:r w:rsidR="00C474F0" w:rsidRPr="00913813">
              <w:rPr>
                <w:rFonts w:asciiTheme="minorHAnsi" w:hAnsiTheme="minorHAnsi" w:cstheme="minorHAnsi"/>
                <w:color w:val="222222"/>
                <w:sz w:val="16"/>
                <w:szCs w:val="16"/>
              </w:rPr>
              <w:t>.</w:t>
            </w:r>
          </w:p>
        </w:tc>
        <w:tc>
          <w:tcPr>
            <w:tcW w:w="4252" w:type="dxa"/>
            <w:vAlign w:val="center"/>
          </w:tcPr>
          <w:p w14:paraId="2C6DBE86" w14:textId="4F76B1E1" w:rsidR="00B86C68" w:rsidRPr="00913813" w:rsidRDefault="00B86C68" w:rsidP="0084525B">
            <w:pPr>
              <w:rPr>
                <w:rFonts w:asciiTheme="minorHAnsi" w:hAnsiTheme="minorHAnsi" w:cstheme="minorHAnsi"/>
                <w:color w:val="222222"/>
                <w:sz w:val="16"/>
                <w:szCs w:val="16"/>
              </w:rPr>
            </w:pPr>
            <w:r w:rsidRPr="00913813">
              <w:rPr>
                <w:rFonts w:asciiTheme="minorHAnsi" w:hAnsiTheme="minorHAnsi" w:cstheme="minorHAnsi"/>
                <w:color w:val="222222"/>
                <w:sz w:val="16"/>
                <w:szCs w:val="16"/>
              </w:rPr>
              <w:t>2.1 Inputs to the INTOSAI Development Initiative (IDI) team</w:t>
            </w:r>
            <w:r w:rsidR="008F2A51" w:rsidRPr="00913813">
              <w:rPr>
                <w:rFonts w:asciiTheme="minorHAnsi" w:hAnsiTheme="minorHAnsi" w:cstheme="minorHAnsi"/>
                <w:color w:val="222222"/>
                <w:sz w:val="16"/>
                <w:szCs w:val="16"/>
              </w:rPr>
              <w:t xml:space="preserve"> leading development of Global Survey 2023</w:t>
            </w:r>
            <w:r w:rsidRPr="00913813">
              <w:rPr>
                <w:rFonts w:asciiTheme="minorHAnsi" w:hAnsiTheme="minorHAnsi" w:cstheme="minorHAnsi"/>
                <w:color w:val="222222"/>
                <w:sz w:val="16"/>
                <w:szCs w:val="16"/>
              </w:rPr>
              <w:t xml:space="preserve"> (May 2023)</w:t>
            </w:r>
            <w:r w:rsidR="001045AC" w:rsidRPr="00913813">
              <w:rPr>
                <w:rFonts w:asciiTheme="minorHAnsi" w:hAnsiTheme="minorHAnsi" w:cstheme="minorHAnsi"/>
                <w:color w:val="222222"/>
                <w:sz w:val="16"/>
                <w:szCs w:val="16"/>
              </w:rPr>
              <w:t>,</w:t>
            </w:r>
          </w:p>
          <w:p w14:paraId="02CD5A2B" w14:textId="77777777" w:rsidR="00B86C68" w:rsidRPr="00913813" w:rsidRDefault="00B86C68" w:rsidP="0084525B">
            <w:pPr>
              <w:rPr>
                <w:rFonts w:asciiTheme="minorHAnsi" w:hAnsiTheme="minorHAnsi" w:cstheme="minorHAnsi"/>
                <w:color w:val="222222"/>
                <w:sz w:val="16"/>
                <w:szCs w:val="16"/>
              </w:rPr>
            </w:pPr>
          </w:p>
          <w:p w14:paraId="024F90D0" w14:textId="290D09A5" w:rsidR="00B86C68" w:rsidRPr="00913813" w:rsidRDefault="00B86C68" w:rsidP="0084525B">
            <w:pPr>
              <w:rPr>
                <w:rFonts w:asciiTheme="minorHAnsi" w:hAnsiTheme="minorHAnsi" w:cstheme="minorHAnsi"/>
                <w:color w:val="222222"/>
                <w:sz w:val="16"/>
                <w:szCs w:val="16"/>
              </w:rPr>
            </w:pPr>
            <w:r w:rsidRPr="00913813">
              <w:rPr>
                <w:rFonts w:asciiTheme="minorHAnsi" w:hAnsiTheme="minorHAnsi" w:cstheme="minorHAnsi"/>
                <w:color w:val="222222"/>
                <w:sz w:val="16"/>
                <w:szCs w:val="16"/>
              </w:rPr>
              <w:t xml:space="preserve">2.2 Analysis report based on outcomes of Global Survey and updated TFIAP </w:t>
            </w:r>
            <w:r w:rsidR="00A83015" w:rsidRPr="00913813">
              <w:rPr>
                <w:rFonts w:asciiTheme="minorHAnsi" w:hAnsiTheme="minorHAnsi" w:cstheme="minorHAnsi"/>
                <w:color w:val="222222"/>
                <w:sz w:val="16"/>
                <w:szCs w:val="16"/>
              </w:rPr>
              <w:t>workplan, and</w:t>
            </w:r>
          </w:p>
          <w:p w14:paraId="7BAF5AFE" w14:textId="77777777" w:rsidR="00B86C68" w:rsidRPr="00913813" w:rsidRDefault="00B86C68" w:rsidP="0084525B">
            <w:pPr>
              <w:rPr>
                <w:rFonts w:asciiTheme="minorHAnsi" w:hAnsiTheme="minorHAnsi" w:cstheme="minorHAnsi"/>
                <w:color w:val="222222"/>
                <w:sz w:val="16"/>
                <w:szCs w:val="16"/>
              </w:rPr>
            </w:pPr>
          </w:p>
          <w:p w14:paraId="79D541D0" w14:textId="7437D961" w:rsidR="00B86C68" w:rsidRPr="00913813" w:rsidRDefault="00B86C68" w:rsidP="0084525B">
            <w:pPr>
              <w:rPr>
                <w:rFonts w:asciiTheme="minorHAnsi" w:hAnsiTheme="minorHAnsi" w:cstheme="minorHAnsi"/>
                <w:color w:val="222222"/>
                <w:sz w:val="16"/>
                <w:szCs w:val="16"/>
              </w:rPr>
            </w:pPr>
            <w:r w:rsidRPr="00913813">
              <w:rPr>
                <w:rFonts w:asciiTheme="minorHAnsi" w:hAnsiTheme="minorHAnsi" w:cstheme="minorHAnsi"/>
                <w:color w:val="222222"/>
                <w:sz w:val="16"/>
                <w:szCs w:val="16"/>
              </w:rPr>
              <w:t>2.3 Virtual TFIAP event to share insights from Global Survey and discuss implications for INTOSAI and PAOs</w:t>
            </w:r>
            <w:r w:rsidR="00A83015" w:rsidRPr="00913813">
              <w:rPr>
                <w:rFonts w:asciiTheme="minorHAnsi" w:hAnsiTheme="minorHAnsi" w:cstheme="minorHAnsi"/>
                <w:color w:val="222222"/>
                <w:sz w:val="16"/>
                <w:szCs w:val="16"/>
              </w:rPr>
              <w:t>.</w:t>
            </w:r>
            <w:r w:rsidRPr="00913813">
              <w:rPr>
                <w:rFonts w:asciiTheme="minorHAnsi" w:hAnsiTheme="minorHAnsi" w:cstheme="minorHAnsi"/>
                <w:color w:val="222222"/>
                <w:sz w:val="16"/>
                <w:szCs w:val="16"/>
              </w:rPr>
              <w:t xml:space="preserve"> </w:t>
            </w:r>
          </w:p>
        </w:tc>
        <w:tc>
          <w:tcPr>
            <w:tcW w:w="3783" w:type="dxa"/>
            <w:shd w:val="clear" w:color="auto" w:fill="92D050"/>
            <w:vAlign w:val="center"/>
          </w:tcPr>
          <w:p w14:paraId="054AD176" w14:textId="31B7BD0C" w:rsidR="00B86C68" w:rsidRPr="00913813" w:rsidRDefault="00B67037" w:rsidP="00B20456">
            <w:pPr>
              <w:rPr>
                <w:rFonts w:asciiTheme="minorHAnsi" w:hAnsiTheme="minorHAnsi" w:cstheme="minorHAnsi"/>
                <w:color w:val="222222"/>
                <w:sz w:val="16"/>
                <w:szCs w:val="16"/>
              </w:rPr>
            </w:pPr>
            <w:r w:rsidRPr="00913813">
              <w:rPr>
                <w:rFonts w:asciiTheme="minorHAnsi" w:hAnsiTheme="minorHAnsi" w:cstheme="minorHAnsi"/>
                <w:color w:val="222222"/>
                <w:sz w:val="16"/>
                <w:szCs w:val="16"/>
              </w:rPr>
              <w:t xml:space="preserve">Inputs to IDI to inform survey questions regarding </w:t>
            </w:r>
            <w:r w:rsidR="00B20456" w:rsidRPr="00913813">
              <w:rPr>
                <w:rFonts w:asciiTheme="minorHAnsi" w:hAnsiTheme="minorHAnsi" w:cstheme="minorHAnsi"/>
                <w:color w:val="222222"/>
                <w:sz w:val="16"/>
                <w:szCs w:val="16"/>
              </w:rPr>
              <w:t xml:space="preserve">auditor </w:t>
            </w:r>
            <w:proofErr w:type="spellStart"/>
            <w:r w:rsidR="00B20456" w:rsidRPr="00913813">
              <w:rPr>
                <w:rFonts w:asciiTheme="minorHAnsi" w:hAnsiTheme="minorHAnsi" w:cstheme="minorHAnsi"/>
                <w:color w:val="222222"/>
                <w:sz w:val="16"/>
                <w:szCs w:val="16"/>
              </w:rPr>
              <w:t>professionalisation</w:t>
            </w:r>
            <w:proofErr w:type="spellEnd"/>
            <w:r w:rsidR="00B20456" w:rsidRPr="00913813">
              <w:rPr>
                <w:rFonts w:asciiTheme="minorHAnsi" w:hAnsiTheme="minorHAnsi" w:cstheme="minorHAnsi"/>
                <w:color w:val="222222"/>
                <w:sz w:val="16"/>
                <w:szCs w:val="16"/>
              </w:rPr>
              <w:t xml:space="preserve">, competence development and human resource practices </w:t>
            </w:r>
            <w:r w:rsidR="00625D1E" w:rsidRPr="00913813">
              <w:rPr>
                <w:rFonts w:asciiTheme="minorHAnsi" w:hAnsiTheme="minorHAnsi" w:cstheme="minorHAnsi"/>
                <w:color w:val="222222"/>
                <w:sz w:val="16"/>
                <w:szCs w:val="16"/>
              </w:rPr>
              <w:t>have been provided in April / May 2023.</w:t>
            </w:r>
          </w:p>
        </w:tc>
      </w:tr>
      <w:tr w:rsidR="00B86C68" w14:paraId="38C4353D" w14:textId="77777777" w:rsidTr="00236E50">
        <w:trPr>
          <w:trHeight w:val="1554"/>
        </w:trPr>
        <w:tc>
          <w:tcPr>
            <w:tcW w:w="1844" w:type="dxa"/>
            <w:vMerge/>
            <w:vAlign w:val="center"/>
          </w:tcPr>
          <w:p w14:paraId="49EBBDF4" w14:textId="77777777" w:rsidR="00B86C68" w:rsidRPr="00913813" w:rsidRDefault="00B86C68" w:rsidP="0084525B">
            <w:pPr>
              <w:rPr>
                <w:rFonts w:cstheme="minorHAnsi"/>
                <w:color w:val="222222"/>
                <w:sz w:val="16"/>
                <w:szCs w:val="16"/>
              </w:rPr>
            </w:pPr>
          </w:p>
        </w:tc>
        <w:tc>
          <w:tcPr>
            <w:tcW w:w="2732" w:type="dxa"/>
            <w:vAlign w:val="center"/>
          </w:tcPr>
          <w:p w14:paraId="73E308D6" w14:textId="4B69B5BC" w:rsidR="00B86C68" w:rsidRPr="00913813" w:rsidRDefault="00B86C68" w:rsidP="0084525B">
            <w:pPr>
              <w:spacing w:line="276" w:lineRule="auto"/>
              <w:rPr>
                <w:rFonts w:asciiTheme="minorHAnsi" w:hAnsiTheme="minorHAnsi" w:cstheme="minorHAnsi"/>
                <w:color w:val="222222"/>
                <w:sz w:val="16"/>
                <w:szCs w:val="16"/>
              </w:rPr>
            </w:pPr>
            <w:r w:rsidRPr="00913813">
              <w:rPr>
                <w:rFonts w:asciiTheme="minorHAnsi" w:hAnsiTheme="minorHAnsi" w:cstheme="minorHAnsi"/>
                <w:iCs/>
                <w:sz w:val="16"/>
                <w:szCs w:val="16"/>
                <w:lang w:val="en-ZA"/>
              </w:rPr>
              <w:t>3. Continuing to research enabling mechanisms required to facilitate and structure professional development in INTOSAI, in cooperation with relevant INTOSAI organs, INTOSAI related entities, the International Federation of Accountants (IFAC), the Institute of Internal Auditors (IIA) and other professional accounting organisations (PAOs) on work relating to auditor education, training and capacity development.</w:t>
            </w:r>
          </w:p>
        </w:tc>
        <w:tc>
          <w:tcPr>
            <w:tcW w:w="2835" w:type="dxa"/>
            <w:shd w:val="clear" w:color="auto" w:fill="FFFFFF" w:themeFill="background1"/>
            <w:vAlign w:val="center"/>
          </w:tcPr>
          <w:p w14:paraId="21E3CF23" w14:textId="3742A5F5" w:rsidR="00B86C68" w:rsidRPr="00913813" w:rsidRDefault="00B86C68" w:rsidP="0084525B">
            <w:pPr>
              <w:spacing w:line="276" w:lineRule="auto"/>
              <w:rPr>
                <w:rFonts w:asciiTheme="minorHAnsi" w:hAnsiTheme="minorHAnsi" w:cstheme="minorHAnsi"/>
                <w:color w:val="222222"/>
                <w:sz w:val="16"/>
                <w:szCs w:val="16"/>
              </w:rPr>
            </w:pPr>
            <w:r w:rsidRPr="00913813">
              <w:rPr>
                <w:rFonts w:asciiTheme="minorHAnsi" w:hAnsiTheme="minorHAnsi" w:cstheme="minorHAnsi"/>
                <w:color w:val="222222"/>
                <w:sz w:val="16"/>
                <w:szCs w:val="16"/>
              </w:rPr>
              <w:t xml:space="preserve">Terms of reference for research project on further enabling mechanisms for auditor </w:t>
            </w:r>
            <w:proofErr w:type="spellStart"/>
            <w:r w:rsidRPr="00913813">
              <w:rPr>
                <w:rFonts w:asciiTheme="minorHAnsi" w:hAnsiTheme="minorHAnsi" w:cstheme="minorHAnsi"/>
                <w:color w:val="222222"/>
                <w:sz w:val="16"/>
                <w:szCs w:val="16"/>
              </w:rPr>
              <w:t>professionalisation</w:t>
            </w:r>
            <w:proofErr w:type="spellEnd"/>
            <w:r w:rsidRPr="00913813">
              <w:rPr>
                <w:rFonts w:asciiTheme="minorHAnsi" w:hAnsiTheme="minorHAnsi" w:cstheme="minorHAnsi"/>
                <w:color w:val="222222"/>
                <w:sz w:val="16"/>
                <w:szCs w:val="16"/>
              </w:rPr>
              <w:t xml:space="preserve"> in INTOSAI, based on a) outcomes of Global Survey and b) engagements with IFAC, IIA and PAOs in the public sector auditing space (early 2024)</w:t>
            </w:r>
            <w:r w:rsidR="00C474F0" w:rsidRPr="00913813">
              <w:rPr>
                <w:rFonts w:asciiTheme="minorHAnsi" w:hAnsiTheme="minorHAnsi" w:cstheme="minorHAnsi"/>
                <w:color w:val="222222"/>
                <w:sz w:val="16"/>
                <w:szCs w:val="16"/>
              </w:rPr>
              <w:t>,</w:t>
            </w:r>
          </w:p>
          <w:p w14:paraId="5943A2CE" w14:textId="77777777" w:rsidR="00B86C68" w:rsidRPr="00913813" w:rsidRDefault="00B86C68" w:rsidP="0084525B">
            <w:pPr>
              <w:spacing w:line="276" w:lineRule="auto"/>
              <w:rPr>
                <w:rFonts w:asciiTheme="minorHAnsi" w:hAnsiTheme="minorHAnsi" w:cstheme="minorHAnsi"/>
                <w:color w:val="222222"/>
                <w:sz w:val="16"/>
                <w:szCs w:val="16"/>
              </w:rPr>
            </w:pPr>
          </w:p>
          <w:p w14:paraId="65EFFED4" w14:textId="5BB3B62B" w:rsidR="00B86C68" w:rsidRPr="00913813" w:rsidRDefault="00B86C68" w:rsidP="0084525B">
            <w:pPr>
              <w:spacing w:line="276" w:lineRule="auto"/>
              <w:rPr>
                <w:rFonts w:asciiTheme="minorHAnsi" w:hAnsiTheme="minorHAnsi" w:cstheme="minorHAnsi"/>
                <w:color w:val="222222"/>
                <w:sz w:val="16"/>
                <w:szCs w:val="16"/>
              </w:rPr>
            </w:pPr>
            <w:r w:rsidRPr="00913813">
              <w:rPr>
                <w:rFonts w:asciiTheme="minorHAnsi" w:hAnsiTheme="minorHAnsi" w:cstheme="minorHAnsi"/>
                <w:color w:val="222222"/>
                <w:sz w:val="16"/>
                <w:szCs w:val="16"/>
              </w:rPr>
              <w:t>Research project outcomes (end 2024)</w:t>
            </w:r>
            <w:r w:rsidR="00C474F0" w:rsidRPr="00913813">
              <w:rPr>
                <w:rFonts w:asciiTheme="minorHAnsi" w:hAnsiTheme="minorHAnsi" w:cstheme="minorHAnsi"/>
                <w:color w:val="222222"/>
                <w:sz w:val="16"/>
                <w:szCs w:val="16"/>
              </w:rPr>
              <w:t>, and</w:t>
            </w:r>
          </w:p>
          <w:p w14:paraId="587A214D" w14:textId="77777777" w:rsidR="00B86C68" w:rsidRPr="00913813" w:rsidRDefault="00B86C68" w:rsidP="0084525B">
            <w:pPr>
              <w:spacing w:line="276" w:lineRule="auto"/>
              <w:rPr>
                <w:rFonts w:asciiTheme="minorHAnsi" w:hAnsiTheme="minorHAnsi" w:cstheme="minorHAnsi"/>
                <w:color w:val="222222"/>
                <w:sz w:val="16"/>
                <w:szCs w:val="16"/>
              </w:rPr>
            </w:pPr>
          </w:p>
          <w:p w14:paraId="67D6F9B8" w14:textId="18608124" w:rsidR="00B86C68" w:rsidRPr="00913813" w:rsidRDefault="00B86C68" w:rsidP="0084525B">
            <w:pPr>
              <w:spacing w:line="276" w:lineRule="auto"/>
              <w:rPr>
                <w:rFonts w:asciiTheme="minorHAnsi" w:hAnsiTheme="minorHAnsi" w:cstheme="minorHAnsi"/>
                <w:color w:val="222222"/>
                <w:sz w:val="16"/>
                <w:szCs w:val="16"/>
              </w:rPr>
            </w:pPr>
            <w:r w:rsidRPr="00913813">
              <w:rPr>
                <w:rFonts w:asciiTheme="minorHAnsi" w:hAnsiTheme="minorHAnsi" w:cstheme="minorHAnsi"/>
                <w:color w:val="222222"/>
                <w:sz w:val="16"/>
                <w:szCs w:val="16"/>
              </w:rPr>
              <w:t>Position paper (or more appropriate format, depending on project / outcome) ready for consideration / adoption at INCOSAI 2025</w:t>
            </w:r>
            <w:r w:rsidR="00C474F0" w:rsidRPr="00913813">
              <w:rPr>
                <w:rFonts w:asciiTheme="minorHAnsi" w:hAnsiTheme="minorHAnsi" w:cstheme="minorHAnsi"/>
                <w:color w:val="222222"/>
                <w:sz w:val="16"/>
                <w:szCs w:val="16"/>
              </w:rPr>
              <w:t>.</w:t>
            </w:r>
          </w:p>
        </w:tc>
        <w:tc>
          <w:tcPr>
            <w:tcW w:w="4252" w:type="dxa"/>
            <w:vAlign w:val="center"/>
          </w:tcPr>
          <w:p w14:paraId="257C2865" w14:textId="1D9B414C" w:rsidR="00B86C68" w:rsidRPr="00913813" w:rsidRDefault="00B86C68" w:rsidP="0084525B">
            <w:pPr>
              <w:spacing w:line="276" w:lineRule="auto"/>
              <w:rPr>
                <w:rFonts w:asciiTheme="minorHAnsi" w:hAnsiTheme="minorHAnsi" w:cstheme="minorHAnsi"/>
                <w:color w:val="222222"/>
                <w:sz w:val="16"/>
                <w:szCs w:val="16"/>
              </w:rPr>
            </w:pPr>
            <w:r w:rsidRPr="00913813">
              <w:rPr>
                <w:rFonts w:asciiTheme="minorHAnsi" w:hAnsiTheme="minorHAnsi" w:cstheme="minorHAnsi"/>
                <w:color w:val="222222"/>
                <w:sz w:val="16"/>
                <w:szCs w:val="16"/>
              </w:rPr>
              <w:t xml:space="preserve">3.1 Term of reference for research project on further enabling mechanisms for auditor </w:t>
            </w:r>
            <w:proofErr w:type="spellStart"/>
            <w:r w:rsidRPr="00913813">
              <w:rPr>
                <w:rFonts w:asciiTheme="minorHAnsi" w:hAnsiTheme="minorHAnsi" w:cstheme="minorHAnsi"/>
                <w:color w:val="222222"/>
                <w:sz w:val="16"/>
                <w:szCs w:val="16"/>
              </w:rPr>
              <w:t>professionalisation</w:t>
            </w:r>
            <w:proofErr w:type="spellEnd"/>
            <w:r w:rsidRPr="00913813">
              <w:rPr>
                <w:rFonts w:asciiTheme="minorHAnsi" w:hAnsiTheme="minorHAnsi" w:cstheme="minorHAnsi"/>
                <w:color w:val="222222"/>
                <w:sz w:val="16"/>
                <w:szCs w:val="16"/>
              </w:rPr>
              <w:t xml:space="preserve"> in INTOSAI (early 2024)</w:t>
            </w:r>
            <w:r w:rsidR="00A83015" w:rsidRPr="00913813">
              <w:rPr>
                <w:rFonts w:asciiTheme="minorHAnsi" w:hAnsiTheme="minorHAnsi" w:cstheme="minorHAnsi"/>
                <w:color w:val="222222"/>
                <w:sz w:val="16"/>
                <w:szCs w:val="16"/>
              </w:rPr>
              <w:t>,</w:t>
            </w:r>
          </w:p>
          <w:p w14:paraId="0910C59A" w14:textId="77777777" w:rsidR="00B86C68" w:rsidRPr="00913813" w:rsidRDefault="00B86C68" w:rsidP="0084525B">
            <w:pPr>
              <w:spacing w:line="276" w:lineRule="auto"/>
              <w:rPr>
                <w:rFonts w:asciiTheme="minorHAnsi" w:hAnsiTheme="minorHAnsi" w:cstheme="minorHAnsi"/>
                <w:color w:val="222222"/>
                <w:sz w:val="16"/>
                <w:szCs w:val="16"/>
              </w:rPr>
            </w:pPr>
          </w:p>
          <w:p w14:paraId="47CFBF3C" w14:textId="4B3963C0" w:rsidR="00B86C68" w:rsidRPr="00913813" w:rsidRDefault="00B86C68" w:rsidP="0084525B">
            <w:pPr>
              <w:spacing w:line="276" w:lineRule="auto"/>
              <w:rPr>
                <w:rFonts w:asciiTheme="minorHAnsi" w:hAnsiTheme="minorHAnsi" w:cstheme="minorHAnsi"/>
                <w:color w:val="222222"/>
                <w:sz w:val="16"/>
                <w:szCs w:val="16"/>
              </w:rPr>
            </w:pPr>
            <w:r w:rsidRPr="00913813">
              <w:rPr>
                <w:rFonts w:asciiTheme="minorHAnsi" w:hAnsiTheme="minorHAnsi" w:cstheme="minorHAnsi"/>
                <w:color w:val="222222"/>
                <w:sz w:val="16"/>
                <w:szCs w:val="16"/>
              </w:rPr>
              <w:t>3.2 Research report (end 2024)</w:t>
            </w:r>
            <w:r w:rsidR="00A83015" w:rsidRPr="00913813">
              <w:rPr>
                <w:rFonts w:asciiTheme="minorHAnsi" w:hAnsiTheme="minorHAnsi" w:cstheme="minorHAnsi"/>
                <w:color w:val="222222"/>
                <w:sz w:val="16"/>
                <w:szCs w:val="16"/>
              </w:rPr>
              <w:t>, and</w:t>
            </w:r>
          </w:p>
          <w:p w14:paraId="71F91E13" w14:textId="77777777" w:rsidR="00B86C68" w:rsidRPr="00913813" w:rsidRDefault="00B86C68" w:rsidP="0084525B">
            <w:pPr>
              <w:spacing w:line="276" w:lineRule="auto"/>
              <w:rPr>
                <w:rFonts w:asciiTheme="minorHAnsi" w:hAnsiTheme="minorHAnsi" w:cstheme="minorHAnsi"/>
                <w:color w:val="222222"/>
                <w:sz w:val="16"/>
                <w:szCs w:val="16"/>
              </w:rPr>
            </w:pPr>
          </w:p>
          <w:p w14:paraId="7EE13835" w14:textId="67AE5528" w:rsidR="00B86C68" w:rsidRPr="00913813" w:rsidRDefault="00B86C68" w:rsidP="0084525B">
            <w:pPr>
              <w:spacing w:line="276" w:lineRule="auto"/>
              <w:rPr>
                <w:rFonts w:asciiTheme="minorHAnsi" w:hAnsiTheme="minorHAnsi" w:cstheme="minorHAnsi"/>
                <w:color w:val="222222"/>
                <w:sz w:val="16"/>
                <w:szCs w:val="16"/>
              </w:rPr>
            </w:pPr>
            <w:r w:rsidRPr="00913813">
              <w:rPr>
                <w:rFonts w:asciiTheme="minorHAnsi" w:hAnsiTheme="minorHAnsi" w:cstheme="minorHAnsi"/>
                <w:color w:val="222222"/>
                <w:sz w:val="16"/>
                <w:szCs w:val="16"/>
              </w:rPr>
              <w:t>3.3 Position paper (or credible alternative</w:t>
            </w:r>
            <w:r w:rsidR="00211904" w:rsidRPr="00913813">
              <w:rPr>
                <w:rFonts w:asciiTheme="minorHAnsi" w:hAnsiTheme="minorHAnsi" w:cstheme="minorHAnsi"/>
                <w:color w:val="222222"/>
                <w:sz w:val="16"/>
                <w:szCs w:val="16"/>
              </w:rPr>
              <w:t xml:space="preserve">) </w:t>
            </w:r>
            <w:r w:rsidRPr="00913813">
              <w:rPr>
                <w:rFonts w:asciiTheme="minorHAnsi" w:hAnsiTheme="minorHAnsi" w:cstheme="minorHAnsi"/>
                <w:color w:val="222222"/>
                <w:sz w:val="16"/>
                <w:szCs w:val="16"/>
              </w:rPr>
              <w:t>ready 6 months pre INCOSAI 2025</w:t>
            </w:r>
            <w:r w:rsidR="00EA2130" w:rsidRPr="00913813">
              <w:rPr>
                <w:rFonts w:asciiTheme="minorHAnsi" w:hAnsiTheme="minorHAnsi" w:cstheme="minorHAnsi"/>
                <w:color w:val="222222"/>
                <w:sz w:val="16"/>
                <w:szCs w:val="16"/>
              </w:rPr>
              <w:t>, augmenting GUID 1951</w:t>
            </w:r>
            <w:r w:rsidR="00ED1801" w:rsidRPr="00913813">
              <w:rPr>
                <w:rFonts w:asciiTheme="minorHAnsi" w:hAnsiTheme="minorHAnsi" w:cstheme="minorHAnsi"/>
                <w:color w:val="222222"/>
                <w:sz w:val="16"/>
                <w:szCs w:val="16"/>
              </w:rPr>
              <w:t xml:space="preserve"> with additional solutions to support auditor education, </w:t>
            </w:r>
            <w:proofErr w:type="gramStart"/>
            <w:r w:rsidR="00ED1801" w:rsidRPr="00913813">
              <w:rPr>
                <w:rFonts w:asciiTheme="minorHAnsi" w:hAnsiTheme="minorHAnsi" w:cstheme="minorHAnsi"/>
                <w:color w:val="222222"/>
                <w:sz w:val="16"/>
                <w:szCs w:val="16"/>
              </w:rPr>
              <w:t>training</w:t>
            </w:r>
            <w:proofErr w:type="gramEnd"/>
            <w:r w:rsidR="00ED1801" w:rsidRPr="00913813">
              <w:rPr>
                <w:rFonts w:asciiTheme="minorHAnsi" w:hAnsiTheme="minorHAnsi" w:cstheme="minorHAnsi"/>
                <w:color w:val="222222"/>
                <w:sz w:val="16"/>
                <w:szCs w:val="16"/>
              </w:rPr>
              <w:t xml:space="preserve"> and capacity development.</w:t>
            </w:r>
          </w:p>
        </w:tc>
        <w:tc>
          <w:tcPr>
            <w:tcW w:w="3783" w:type="dxa"/>
            <w:shd w:val="clear" w:color="auto" w:fill="00B0F0"/>
            <w:vAlign w:val="center"/>
          </w:tcPr>
          <w:p w14:paraId="21363CB8" w14:textId="36610AF4" w:rsidR="00B86C68" w:rsidRPr="00913813" w:rsidRDefault="005D2DA9" w:rsidP="005D2DA9">
            <w:pPr>
              <w:rPr>
                <w:rFonts w:asciiTheme="minorHAnsi" w:hAnsiTheme="minorHAnsi" w:cstheme="minorHAnsi"/>
                <w:color w:val="222222"/>
                <w:sz w:val="16"/>
                <w:szCs w:val="16"/>
              </w:rPr>
            </w:pPr>
            <w:r w:rsidRPr="00913813">
              <w:rPr>
                <w:rFonts w:asciiTheme="minorHAnsi" w:hAnsiTheme="minorHAnsi" w:cstheme="minorHAnsi"/>
                <w:color w:val="222222"/>
                <w:sz w:val="16"/>
                <w:szCs w:val="16"/>
              </w:rPr>
              <w:t>Work to start post availability of 2023 Global Survey results.</w:t>
            </w:r>
          </w:p>
        </w:tc>
      </w:tr>
      <w:tr w:rsidR="00C91242" w14:paraId="0E30434D" w14:textId="77777777" w:rsidTr="00903FEA">
        <w:trPr>
          <w:trHeight w:val="1526"/>
        </w:trPr>
        <w:tc>
          <w:tcPr>
            <w:tcW w:w="1844" w:type="dxa"/>
            <w:vMerge/>
            <w:vAlign w:val="center"/>
          </w:tcPr>
          <w:p w14:paraId="5A3B2932" w14:textId="77777777" w:rsidR="00C91242" w:rsidRPr="00913813" w:rsidRDefault="00C91242" w:rsidP="0084525B">
            <w:pPr>
              <w:rPr>
                <w:rFonts w:cstheme="minorHAnsi"/>
                <w:color w:val="222222"/>
                <w:sz w:val="16"/>
                <w:szCs w:val="16"/>
              </w:rPr>
            </w:pPr>
          </w:p>
        </w:tc>
        <w:tc>
          <w:tcPr>
            <w:tcW w:w="2732" w:type="dxa"/>
            <w:vMerge w:val="restart"/>
            <w:vAlign w:val="center"/>
          </w:tcPr>
          <w:p w14:paraId="2AA83A4F" w14:textId="0022A2E8" w:rsidR="00C91242" w:rsidRPr="00913813" w:rsidRDefault="003A70AF" w:rsidP="00C91242">
            <w:pPr>
              <w:spacing w:before="120" w:after="120" w:line="240" w:lineRule="atLeast"/>
              <w:rPr>
                <w:rFonts w:asciiTheme="minorHAnsi" w:hAnsiTheme="minorHAnsi" w:cstheme="minorHAnsi"/>
                <w:color w:val="222222"/>
                <w:sz w:val="16"/>
                <w:szCs w:val="16"/>
              </w:rPr>
            </w:pPr>
            <w:r w:rsidRPr="00913813">
              <w:rPr>
                <w:rFonts w:asciiTheme="minorHAnsi" w:hAnsiTheme="minorHAnsi" w:cstheme="minorHAnsi"/>
                <w:iCs/>
                <w:sz w:val="16"/>
                <w:szCs w:val="16"/>
                <w:lang w:val="en-ZA"/>
              </w:rPr>
              <w:t>4</w:t>
            </w:r>
            <w:r w:rsidR="0093798E" w:rsidRPr="00913813">
              <w:rPr>
                <w:rFonts w:asciiTheme="minorHAnsi" w:hAnsiTheme="minorHAnsi" w:cstheme="minorHAnsi"/>
                <w:iCs/>
                <w:sz w:val="16"/>
                <w:szCs w:val="16"/>
                <w:lang w:val="en-ZA"/>
              </w:rPr>
              <w:t xml:space="preserve">. </w:t>
            </w:r>
            <w:r w:rsidR="00C91242" w:rsidRPr="00913813">
              <w:rPr>
                <w:rFonts w:asciiTheme="minorHAnsi" w:hAnsiTheme="minorHAnsi" w:cstheme="minorHAnsi"/>
                <w:iCs/>
                <w:sz w:val="16"/>
                <w:szCs w:val="16"/>
                <w:lang w:val="en-ZA"/>
              </w:rPr>
              <w:t>Utilising the newly approved ISSAI 150 on auditor competence, its related guidance (GUID 1950 and 1951) and the guide on human resource management practices as a basis, strive for successful adoption and implementation of these pronouncements, through various initiatives as outlined in initiatives in columns to the right.</w:t>
            </w:r>
          </w:p>
        </w:tc>
        <w:tc>
          <w:tcPr>
            <w:tcW w:w="2835" w:type="dxa"/>
            <w:shd w:val="clear" w:color="auto" w:fill="FFFFFF" w:themeFill="background1"/>
            <w:vAlign w:val="center"/>
          </w:tcPr>
          <w:p w14:paraId="79C52443" w14:textId="631CD7DD" w:rsidR="0093798E" w:rsidRPr="00913813" w:rsidRDefault="00C91242" w:rsidP="003C2C68">
            <w:pPr>
              <w:spacing w:before="120" w:after="120" w:line="240" w:lineRule="atLeast"/>
              <w:rPr>
                <w:rFonts w:asciiTheme="minorHAnsi" w:hAnsiTheme="minorHAnsi" w:cstheme="minorHAnsi"/>
                <w:iCs/>
                <w:sz w:val="16"/>
                <w:szCs w:val="16"/>
                <w:lang w:val="en-ZA"/>
              </w:rPr>
            </w:pPr>
            <w:r w:rsidRPr="00913813">
              <w:rPr>
                <w:rFonts w:asciiTheme="minorHAnsi" w:hAnsiTheme="minorHAnsi" w:cstheme="minorHAnsi"/>
                <w:iCs/>
                <w:sz w:val="16"/>
                <w:szCs w:val="16"/>
                <w:lang w:val="en-ZA"/>
              </w:rPr>
              <w:t>Implementation advocacy dealing with implementation success and related enabling relationships, through</w:t>
            </w:r>
            <w:r w:rsidR="0093798E" w:rsidRPr="00913813">
              <w:rPr>
                <w:rFonts w:asciiTheme="minorHAnsi" w:hAnsiTheme="minorHAnsi" w:cstheme="minorHAnsi"/>
                <w:iCs/>
                <w:sz w:val="16"/>
                <w:szCs w:val="16"/>
                <w:lang w:val="en-ZA"/>
              </w:rPr>
              <w:t xml:space="preserve"> – </w:t>
            </w:r>
          </w:p>
          <w:p w14:paraId="75852D3E" w14:textId="764C0F6D" w:rsidR="0093798E" w:rsidRPr="00913813" w:rsidRDefault="00C91242" w:rsidP="0093798E">
            <w:pPr>
              <w:pStyle w:val="ListParagraph"/>
              <w:numPr>
                <w:ilvl w:val="0"/>
                <w:numId w:val="35"/>
              </w:numPr>
              <w:spacing w:before="120" w:after="120" w:line="240" w:lineRule="atLeast"/>
              <w:rPr>
                <w:rFonts w:asciiTheme="minorHAnsi" w:hAnsiTheme="minorHAnsi" w:cstheme="minorHAnsi"/>
                <w:iCs/>
                <w:sz w:val="16"/>
                <w:szCs w:val="16"/>
                <w:lang w:val="en-ZA"/>
              </w:rPr>
            </w:pPr>
            <w:r w:rsidRPr="00913813">
              <w:rPr>
                <w:rFonts w:asciiTheme="minorHAnsi" w:hAnsiTheme="minorHAnsi" w:cstheme="minorHAnsi"/>
                <w:iCs/>
                <w:sz w:val="16"/>
                <w:szCs w:val="16"/>
                <w:lang w:val="en-ZA"/>
              </w:rPr>
              <w:t>sharing of case studies on the CBC website</w:t>
            </w:r>
            <w:r w:rsidR="00726993" w:rsidRPr="00913813">
              <w:rPr>
                <w:rFonts w:asciiTheme="minorHAnsi" w:hAnsiTheme="minorHAnsi" w:cstheme="minorHAnsi"/>
                <w:iCs/>
                <w:sz w:val="16"/>
                <w:szCs w:val="16"/>
                <w:lang w:val="en-ZA"/>
              </w:rPr>
              <w:t xml:space="preserve"> (</w:t>
            </w:r>
            <w:r w:rsidR="00C5117A" w:rsidRPr="00913813">
              <w:rPr>
                <w:rFonts w:asciiTheme="minorHAnsi" w:hAnsiTheme="minorHAnsi" w:cstheme="minorHAnsi"/>
                <w:iCs/>
                <w:sz w:val="16"/>
                <w:szCs w:val="16"/>
                <w:lang w:val="en-ZA"/>
              </w:rPr>
              <w:t>minimum 4 per annum)</w:t>
            </w:r>
            <w:r w:rsidRPr="00913813">
              <w:rPr>
                <w:rFonts w:asciiTheme="minorHAnsi" w:hAnsiTheme="minorHAnsi" w:cstheme="minorHAnsi"/>
                <w:iCs/>
                <w:sz w:val="16"/>
                <w:szCs w:val="16"/>
                <w:lang w:val="en-ZA"/>
              </w:rPr>
              <w:t>,</w:t>
            </w:r>
          </w:p>
          <w:p w14:paraId="211B47A5" w14:textId="2DA1787B" w:rsidR="0093798E" w:rsidRPr="00913813" w:rsidRDefault="00C91242" w:rsidP="0093798E">
            <w:pPr>
              <w:pStyle w:val="ListParagraph"/>
              <w:numPr>
                <w:ilvl w:val="0"/>
                <w:numId w:val="35"/>
              </w:numPr>
              <w:spacing w:before="120" w:after="120" w:line="240" w:lineRule="atLeast"/>
              <w:rPr>
                <w:rFonts w:asciiTheme="minorHAnsi" w:hAnsiTheme="minorHAnsi" w:cstheme="minorHAnsi"/>
                <w:iCs/>
                <w:sz w:val="16"/>
                <w:szCs w:val="16"/>
                <w:lang w:val="en-ZA"/>
              </w:rPr>
            </w:pPr>
            <w:r w:rsidRPr="00913813">
              <w:rPr>
                <w:rFonts w:asciiTheme="minorHAnsi" w:hAnsiTheme="minorHAnsi" w:cstheme="minorHAnsi"/>
                <w:iCs/>
                <w:sz w:val="16"/>
                <w:szCs w:val="16"/>
                <w:lang w:val="en-ZA"/>
              </w:rPr>
              <w:t>hosting webinars</w:t>
            </w:r>
            <w:r w:rsidR="00C5117A" w:rsidRPr="00913813">
              <w:rPr>
                <w:rFonts w:asciiTheme="minorHAnsi" w:hAnsiTheme="minorHAnsi" w:cstheme="minorHAnsi"/>
                <w:iCs/>
                <w:sz w:val="16"/>
                <w:szCs w:val="16"/>
                <w:lang w:val="en-ZA"/>
              </w:rPr>
              <w:t xml:space="preserve"> (at least 1 per annum)</w:t>
            </w:r>
            <w:r w:rsidR="0093798E" w:rsidRPr="00913813">
              <w:rPr>
                <w:rFonts w:asciiTheme="minorHAnsi" w:hAnsiTheme="minorHAnsi" w:cstheme="minorHAnsi"/>
                <w:iCs/>
                <w:sz w:val="16"/>
                <w:szCs w:val="16"/>
                <w:lang w:val="en-ZA"/>
              </w:rPr>
              <w:t xml:space="preserve">, </w:t>
            </w:r>
            <w:r w:rsidRPr="00913813">
              <w:rPr>
                <w:rFonts w:asciiTheme="minorHAnsi" w:hAnsiTheme="minorHAnsi" w:cstheme="minorHAnsi"/>
                <w:iCs/>
                <w:sz w:val="16"/>
                <w:szCs w:val="16"/>
                <w:lang w:val="en-ZA"/>
              </w:rPr>
              <w:t>and</w:t>
            </w:r>
          </w:p>
          <w:p w14:paraId="7135C25F" w14:textId="2D2A6C43" w:rsidR="00C91242" w:rsidRPr="00913813" w:rsidRDefault="00C91242" w:rsidP="002D6E50">
            <w:pPr>
              <w:pStyle w:val="ListParagraph"/>
              <w:numPr>
                <w:ilvl w:val="0"/>
                <w:numId w:val="35"/>
              </w:numPr>
              <w:spacing w:before="120" w:after="120" w:line="240" w:lineRule="atLeast"/>
              <w:rPr>
                <w:rFonts w:asciiTheme="minorHAnsi" w:hAnsiTheme="minorHAnsi" w:cstheme="minorHAnsi"/>
                <w:color w:val="222222"/>
                <w:sz w:val="16"/>
                <w:szCs w:val="16"/>
              </w:rPr>
            </w:pPr>
            <w:r w:rsidRPr="00913813">
              <w:rPr>
                <w:rFonts w:asciiTheme="minorHAnsi" w:hAnsiTheme="minorHAnsi" w:cstheme="minorHAnsi"/>
                <w:iCs/>
                <w:sz w:val="16"/>
                <w:szCs w:val="16"/>
                <w:lang w:val="en-ZA"/>
              </w:rPr>
              <w:t>c</w:t>
            </w:r>
            <w:r w:rsidR="00667A1A" w:rsidRPr="00913813">
              <w:rPr>
                <w:rFonts w:asciiTheme="minorHAnsi" w:hAnsiTheme="minorHAnsi" w:cstheme="minorHAnsi"/>
                <w:iCs/>
                <w:sz w:val="16"/>
                <w:szCs w:val="16"/>
                <w:lang w:val="en-ZA"/>
              </w:rPr>
              <w:t xml:space="preserve">onsidering the creation of </w:t>
            </w:r>
            <w:r w:rsidRPr="00913813">
              <w:rPr>
                <w:rFonts w:asciiTheme="minorHAnsi" w:hAnsiTheme="minorHAnsi" w:cstheme="minorHAnsi"/>
                <w:iCs/>
                <w:sz w:val="16"/>
                <w:szCs w:val="16"/>
                <w:lang w:val="en-ZA"/>
              </w:rPr>
              <w:t>enabling communities of practice</w:t>
            </w:r>
            <w:r w:rsidR="00C5117A" w:rsidRPr="00913813">
              <w:rPr>
                <w:rFonts w:asciiTheme="minorHAnsi" w:hAnsiTheme="minorHAnsi" w:cstheme="minorHAnsi"/>
                <w:iCs/>
                <w:sz w:val="16"/>
                <w:szCs w:val="16"/>
                <w:lang w:val="en-ZA"/>
              </w:rPr>
              <w:t xml:space="preserve"> (at least one </w:t>
            </w:r>
            <w:r w:rsidR="00487EEC" w:rsidRPr="00913813">
              <w:rPr>
                <w:rFonts w:asciiTheme="minorHAnsi" w:hAnsiTheme="minorHAnsi" w:cstheme="minorHAnsi"/>
                <w:iCs/>
                <w:sz w:val="16"/>
                <w:szCs w:val="16"/>
                <w:lang w:val="en-ZA"/>
              </w:rPr>
              <w:t xml:space="preserve">portal for </w:t>
            </w:r>
            <w:r w:rsidR="006B22B4" w:rsidRPr="00913813">
              <w:rPr>
                <w:rFonts w:asciiTheme="minorHAnsi" w:hAnsiTheme="minorHAnsi" w:cstheme="minorHAnsi"/>
                <w:iCs/>
                <w:sz w:val="16"/>
                <w:szCs w:val="16"/>
                <w:lang w:val="en-ZA"/>
              </w:rPr>
              <w:t>t</w:t>
            </w:r>
            <w:r w:rsidR="00487EEC" w:rsidRPr="00913813">
              <w:rPr>
                <w:rFonts w:asciiTheme="minorHAnsi" w:hAnsiTheme="minorHAnsi" w:cstheme="minorHAnsi"/>
                <w:iCs/>
                <w:sz w:val="16"/>
                <w:szCs w:val="16"/>
                <w:lang w:val="en-ZA"/>
              </w:rPr>
              <w:t>he period under review</w:t>
            </w:r>
            <w:r w:rsidR="006B22B4" w:rsidRPr="00913813">
              <w:rPr>
                <w:rFonts w:asciiTheme="minorHAnsi" w:hAnsiTheme="minorHAnsi" w:cstheme="minorHAnsi"/>
                <w:iCs/>
                <w:sz w:val="16"/>
                <w:szCs w:val="16"/>
                <w:lang w:val="en-ZA"/>
              </w:rPr>
              <w:t>, established in 2024</w:t>
            </w:r>
            <w:r w:rsidR="002D6E50" w:rsidRPr="00913813">
              <w:rPr>
                <w:rFonts w:asciiTheme="minorHAnsi" w:hAnsiTheme="minorHAnsi" w:cstheme="minorHAnsi"/>
                <w:iCs/>
                <w:sz w:val="16"/>
                <w:szCs w:val="16"/>
                <w:lang w:val="en-ZA"/>
              </w:rPr>
              <w:t>) (may consider this in the context of the IRCP or the dedicated regional organisation day during the annual CBC meetings).</w:t>
            </w:r>
          </w:p>
        </w:tc>
        <w:tc>
          <w:tcPr>
            <w:tcW w:w="4252" w:type="dxa"/>
            <w:vAlign w:val="center"/>
          </w:tcPr>
          <w:p w14:paraId="00A112C0" w14:textId="1218D3AC" w:rsidR="00C91242" w:rsidRPr="00913813" w:rsidRDefault="003A70AF" w:rsidP="0084525B">
            <w:pPr>
              <w:spacing w:line="276" w:lineRule="auto"/>
              <w:rPr>
                <w:rFonts w:asciiTheme="minorHAnsi" w:hAnsiTheme="minorHAnsi" w:cstheme="minorHAnsi"/>
                <w:color w:val="222222"/>
                <w:sz w:val="16"/>
                <w:szCs w:val="16"/>
              </w:rPr>
            </w:pPr>
            <w:r w:rsidRPr="00913813">
              <w:rPr>
                <w:rFonts w:asciiTheme="minorHAnsi" w:hAnsiTheme="minorHAnsi" w:cstheme="minorHAnsi"/>
                <w:color w:val="222222"/>
                <w:sz w:val="16"/>
                <w:szCs w:val="16"/>
              </w:rPr>
              <w:t>4</w:t>
            </w:r>
            <w:r w:rsidR="00A24885" w:rsidRPr="00913813">
              <w:rPr>
                <w:rFonts w:asciiTheme="minorHAnsi" w:hAnsiTheme="minorHAnsi" w:cstheme="minorHAnsi"/>
                <w:color w:val="222222"/>
                <w:sz w:val="16"/>
                <w:szCs w:val="16"/>
              </w:rPr>
              <w:t>.1</w:t>
            </w:r>
            <w:r w:rsidR="00846123" w:rsidRPr="00913813">
              <w:rPr>
                <w:rFonts w:asciiTheme="minorHAnsi" w:hAnsiTheme="minorHAnsi" w:cstheme="minorHAnsi"/>
                <w:color w:val="222222"/>
                <w:sz w:val="16"/>
                <w:szCs w:val="16"/>
              </w:rPr>
              <w:t>.1</w:t>
            </w:r>
            <w:r w:rsidR="00A24885" w:rsidRPr="00913813">
              <w:rPr>
                <w:rFonts w:asciiTheme="minorHAnsi" w:hAnsiTheme="minorHAnsi" w:cstheme="minorHAnsi"/>
                <w:color w:val="222222"/>
                <w:sz w:val="16"/>
                <w:szCs w:val="16"/>
              </w:rPr>
              <w:t xml:space="preserve"> </w:t>
            </w:r>
            <w:r w:rsidR="00EF186E" w:rsidRPr="00913813">
              <w:rPr>
                <w:rFonts w:asciiTheme="minorHAnsi" w:hAnsiTheme="minorHAnsi" w:cstheme="minorHAnsi"/>
                <w:color w:val="222222"/>
                <w:sz w:val="16"/>
                <w:szCs w:val="16"/>
              </w:rPr>
              <w:t xml:space="preserve">Ongoing engagement with TFIAP members, INTOSAI regions, SAIs seen as leaders in working towards </w:t>
            </w:r>
            <w:r w:rsidR="00C15976" w:rsidRPr="00913813">
              <w:rPr>
                <w:rFonts w:asciiTheme="minorHAnsi" w:hAnsiTheme="minorHAnsi" w:cstheme="minorHAnsi"/>
                <w:color w:val="222222"/>
                <w:sz w:val="16"/>
                <w:szCs w:val="16"/>
              </w:rPr>
              <w:t xml:space="preserve">auditor </w:t>
            </w:r>
            <w:proofErr w:type="spellStart"/>
            <w:r w:rsidR="00C15976" w:rsidRPr="00913813">
              <w:rPr>
                <w:rFonts w:asciiTheme="minorHAnsi" w:hAnsiTheme="minorHAnsi" w:cstheme="minorHAnsi"/>
                <w:color w:val="222222"/>
                <w:sz w:val="16"/>
                <w:szCs w:val="16"/>
              </w:rPr>
              <w:t>professionalisation</w:t>
            </w:r>
            <w:proofErr w:type="spellEnd"/>
            <w:r w:rsidR="00C15976" w:rsidRPr="00913813">
              <w:rPr>
                <w:rFonts w:asciiTheme="minorHAnsi" w:hAnsiTheme="minorHAnsi" w:cstheme="minorHAnsi"/>
                <w:color w:val="222222"/>
                <w:sz w:val="16"/>
                <w:szCs w:val="16"/>
              </w:rPr>
              <w:t xml:space="preserve">, IFAC, IIA and PAOs to identify contributors </w:t>
            </w:r>
            <w:r w:rsidR="002E071D" w:rsidRPr="00913813">
              <w:rPr>
                <w:rFonts w:asciiTheme="minorHAnsi" w:hAnsiTheme="minorHAnsi" w:cstheme="minorHAnsi"/>
                <w:color w:val="222222"/>
                <w:sz w:val="16"/>
                <w:szCs w:val="16"/>
              </w:rPr>
              <w:t xml:space="preserve">to </w:t>
            </w:r>
            <w:r w:rsidR="00CD64E3" w:rsidRPr="00913813">
              <w:rPr>
                <w:rFonts w:asciiTheme="minorHAnsi" w:hAnsiTheme="minorHAnsi" w:cstheme="minorHAnsi"/>
                <w:color w:val="222222"/>
                <w:sz w:val="16"/>
                <w:szCs w:val="16"/>
              </w:rPr>
              <w:t>the case study project and facilitate development of these case studies.</w:t>
            </w:r>
            <w:r w:rsidR="002B4452" w:rsidRPr="00913813">
              <w:rPr>
                <w:rFonts w:asciiTheme="minorHAnsi" w:hAnsiTheme="minorHAnsi" w:cstheme="minorHAnsi"/>
                <w:color w:val="222222"/>
                <w:sz w:val="16"/>
                <w:szCs w:val="16"/>
              </w:rPr>
              <w:t xml:space="preserve"> </w:t>
            </w:r>
          </w:p>
          <w:p w14:paraId="5F913EB0" w14:textId="05F3297A" w:rsidR="002B4452" w:rsidRPr="00913813" w:rsidRDefault="002B4452" w:rsidP="0084525B">
            <w:pPr>
              <w:spacing w:line="276" w:lineRule="auto"/>
              <w:rPr>
                <w:rFonts w:asciiTheme="minorHAnsi" w:hAnsiTheme="minorHAnsi" w:cstheme="minorHAnsi"/>
                <w:color w:val="222222"/>
                <w:sz w:val="16"/>
                <w:szCs w:val="16"/>
              </w:rPr>
            </w:pPr>
            <w:r w:rsidRPr="00913813">
              <w:rPr>
                <w:rFonts w:asciiTheme="minorHAnsi" w:hAnsiTheme="minorHAnsi" w:cstheme="minorHAnsi"/>
                <w:color w:val="222222"/>
                <w:sz w:val="16"/>
                <w:szCs w:val="16"/>
              </w:rPr>
              <w:t>(Note – initial 2023 target – IFAC, SAI Brazil, SAI India, SAI Saudi Arabia)</w:t>
            </w:r>
            <w:r w:rsidR="00D01A8E" w:rsidRPr="00913813">
              <w:rPr>
                <w:rFonts w:asciiTheme="minorHAnsi" w:hAnsiTheme="minorHAnsi" w:cstheme="minorHAnsi"/>
                <w:color w:val="222222"/>
                <w:sz w:val="16"/>
                <w:szCs w:val="16"/>
              </w:rPr>
              <w:t>,</w:t>
            </w:r>
          </w:p>
          <w:p w14:paraId="7A3EFE53" w14:textId="77777777" w:rsidR="00643267" w:rsidRPr="00913813" w:rsidRDefault="00643267" w:rsidP="0084525B">
            <w:pPr>
              <w:spacing w:line="276" w:lineRule="auto"/>
              <w:rPr>
                <w:rFonts w:asciiTheme="minorHAnsi" w:hAnsiTheme="minorHAnsi" w:cstheme="minorHAnsi"/>
                <w:color w:val="222222"/>
                <w:sz w:val="16"/>
                <w:szCs w:val="16"/>
              </w:rPr>
            </w:pPr>
          </w:p>
          <w:p w14:paraId="2114BFD4" w14:textId="2654B8CC" w:rsidR="00643267" w:rsidRPr="00913813" w:rsidRDefault="003A70AF" w:rsidP="0084525B">
            <w:pPr>
              <w:spacing w:line="276" w:lineRule="auto"/>
              <w:rPr>
                <w:rFonts w:asciiTheme="minorHAnsi" w:hAnsiTheme="minorHAnsi" w:cstheme="minorHAnsi"/>
                <w:color w:val="222222"/>
                <w:sz w:val="16"/>
                <w:szCs w:val="16"/>
              </w:rPr>
            </w:pPr>
            <w:r w:rsidRPr="00913813">
              <w:rPr>
                <w:rFonts w:asciiTheme="minorHAnsi" w:hAnsiTheme="minorHAnsi" w:cstheme="minorHAnsi"/>
                <w:color w:val="222222"/>
                <w:sz w:val="16"/>
                <w:szCs w:val="16"/>
              </w:rPr>
              <w:t>4</w:t>
            </w:r>
            <w:r w:rsidR="00643267" w:rsidRPr="00913813">
              <w:rPr>
                <w:rFonts w:asciiTheme="minorHAnsi" w:hAnsiTheme="minorHAnsi" w:cstheme="minorHAnsi"/>
                <w:color w:val="222222"/>
                <w:sz w:val="16"/>
                <w:szCs w:val="16"/>
              </w:rPr>
              <w:t>.</w:t>
            </w:r>
            <w:r w:rsidR="00846123" w:rsidRPr="00913813">
              <w:rPr>
                <w:rFonts w:asciiTheme="minorHAnsi" w:hAnsiTheme="minorHAnsi" w:cstheme="minorHAnsi"/>
                <w:color w:val="222222"/>
                <w:sz w:val="16"/>
                <w:szCs w:val="16"/>
              </w:rPr>
              <w:t>1.2</w:t>
            </w:r>
            <w:r w:rsidR="00643267" w:rsidRPr="00913813">
              <w:rPr>
                <w:rFonts w:asciiTheme="minorHAnsi" w:hAnsiTheme="minorHAnsi" w:cstheme="minorHAnsi"/>
                <w:color w:val="222222"/>
                <w:sz w:val="16"/>
                <w:szCs w:val="16"/>
              </w:rPr>
              <w:t xml:space="preserve"> At least one TFIAP webinar</w:t>
            </w:r>
            <w:r w:rsidR="00701D85" w:rsidRPr="00913813">
              <w:rPr>
                <w:rFonts w:asciiTheme="minorHAnsi" w:hAnsiTheme="minorHAnsi" w:cstheme="minorHAnsi"/>
                <w:color w:val="222222"/>
                <w:sz w:val="16"/>
                <w:szCs w:val="16"/>
              </w:rPr>
              <w:t xml:space="preserve"> per annum, showcasing a specific case study with related panel discussion</w:t>
            </w:r>
            <w:r w:rsidR="001045AC" w:rsidRPr="00913813">
              <w:rPr>
                <w:rFonts w:asciiTheme="minorHAnsi" w:hAnsiTheme="minorHAnsi" w:cstheme="minorHAnsi"/>
                <w:color w:val="222222"/>
                <w:sz w:val="16"/>
                <w:szCs w:val="16"/>
              </w:rPr>
              <w:t>.</w:t>
            </w:r>
          </w:p>
          <w:p w14:paraId="1FCFD3BD" w14:textId="12169C0A" w:rsidR="002520C2" w:rsidRPr="00913813" w:rsidRDefault="002520C2" w:rsidP="0084525B">
            <w:pPr>
              <w:spacing w:line="276" w:lineRule="auto"/>
              <w:rPr>
                <w:rFonts w:asciiTheme="minorHAnsi" w:hAnsiTheme="minorHAnsi" w:cstheme="minorHAnsi"/>
                <w:color w:val="222222"/>
                <w:sz w:val="16"/>
                <w:szCs w:val="16"/>
              </w:rPr>
            </w:pPr>
            <w:r w:rsidRPr="00913813">
              <w:rPr>
                <w:rFonts w:asciiTheme="minorHAnsi" w:hAnsiTheme="minorHAnsi" w:cstheme="minorHAnsi"/>
                <w:color w:val="222222"/>
                <w:sz w:val="16"/>
                <w:szCs w:val="16"/>
              </w:rPr>
              <w:t>(Note – initial target</w:t>
            </w:r>
            <w:r w:rsidR="00517994" w:rsidRPr="00913813">
              <w:rPr>
                <w:rFonts w:asciiTheme="minorHAnsi" w:hAnsiTheme="minorHAnsi" w:cstheme="minorHAnsi"/>
                <w:color w:val="222222"/>
                <w:sz w:val="16"/>
                <w:szCs w:val="16"/>
              </w:rPr>
              <w:t xml:space="preserve"> – engagement with FIPP chair, IDI representative and one regional organization on implementation challenges related to ISSAI 150 and, potentially, a partnership with a PAO to facilitate th</w:t>
            </w:r>
            <w:r w:rsidR="00D01A8E" w:rsidRPr="00913813">
              <w:rPr>
                <w:rFonts w:asciiTheme="minorHAnsi" w:hAnsiTheme="minorHAnsi" w:cstheme="minorHAnsi"/>
                <w:color w:val="222222"/>
                <w:sz w:val="16"/>
                <w:szCs w:val="16"/>
              </w:rPr>
              <w:t>e implementation), and</w:t>
            </w:r>
          </w:p>
          <w:p w14:paraId="63B147EA" w14:textId="77777777" w:rsidR="00701D85" w:rsidRPr="00913813" w:rsidRDefault="00701D85" w:rsidP="0084525B">
            <w:pPr>
              <w:spacing w:line="276" w:lineRule="auto"/>
              <w:rPr>
                <w:rFonts w:asciiTheme="minorHAnsi" w:hAnsiTheme="minorHAnsi" w:cstheme="minorHAnsi"/>
                <w:color w:val="222222"/>
                <w:sz w:val="16"/>
                <w:szCs w:val="16"/>
              </w:rPr>
            </w:pPr>
          </w:p>
          <w:p w14:paraId="366EA7BB" w14:textId="5566F348" w:rsidR="00701D85" w:rsidRPr="00913813" w:rsidRDefault="003A70AF" w:rsidP="0084525B">
            <w:pPr>
              <w:spacing w:line="276" w:lineRule="auto"/>
              <w:rPr>
                <w:rFonts w:asciiTheme="minorHAnsi" w:hAnsiTheme="minorHAnsi" w:cstheme="minorHAnsi"/>
                <w:color w:val="222222"/>
                <w:sz w:val="16"/>
                <w:szCs w:val="16"/>
              </w:rPr>
            </w:pPr>
            <w:r w:rsidRPr="00913813">
              <w:rPr>
                <w:rFonts w:asciiTheme="minorHAnsi" w:hAnsiTheme="minorHAnsi" w:cstheme="minorHAnsi"/>
                <w:color w:val="222222"/>
                <w:sz w:val="16"/>
                <w:szCs w:val="16"/>
              </w:rPr>
              <w:t>4</w:t>
            </w:r>
            <w:r w:rsidR="00701D85" w:rsidRPr="00913813">
              <w:rPr>
                <w:rFonts w:asciiTheme="minorHAnsi" w:hAnsiTheme="minorHAnsi" w:cstheme="minorHAnsi"/>
                <w:color w:val="222222"/>
                <w:sz w:val="16"/>
                <w:szCs w:val="16"/>
              </w:rPr>
              <w:t>.</w:t>
            </w:r>
            <w:r w:rsidR="00846123" w:rsidRPr="00913813">
              <w:rPr>
                <w:rFonts w:asciiTheme="minorHAnsi" w:hAnsiTheme="minorHAnsi" w:cstheme="minorHAnsi"/>
                <w:color w:val="222222"/>
                <w:sz w:val="16"/>
                <w:szCs w:val="16"/>
              </w:rPr>
              <w:t>1.3</w:t>
            </w:r>
            <w:r w:rsidR="00701D85" w:rsidRPr="00913813">
              <w:rPr>
                <w:rFonts w:asciiTheme="minorHAnsi" w:hAnsiTheme="minorHAnsi" w:cstheme="minorHAnsi"/>
                <w:color w:val="222222"/>
                <w:sz w:val="16"/>
                <w:szCs w:val="16"/>
              </w:rPr>
              <w:t xml:space="preserve"> </w:t>
            </w:r>
            <w:r w:rsidR="004A5028" w:rsidRPr="00913813">
              <w:rPr>
                <w:rFonts w:asciiTheme="minorHAnsi" w:hAnsiTheme="minorHAnsi" w:cstheme="minorHAnsi"/>
                <w:color w:val="222222"/>
                <w:sz w:val="16"/>
                <w:szCs w:val="16"/>
              </w:rPr>
              <w:t>Creation on at least one community of practice portal on the CBC website, based on the analysis</w:t>
            </w:r>
            <w:r w:rsidR="00D01A8E" w:rsidRPr="00913813">
              <w:rPr>
                <w:rFonts w:asciiTheme="minorHAnsi" w:hAnsiTheme="minorHAnsi" w:cstheme="minorHAnsi"/>
                <w:color w:val="222222"/>
                <w:sz w:val="16"/>
                <w:szCs w:val="16"/>
              </w:rPr>
              <w:t xml:space="preserve"> (Note – id</w:t>
            </w:r>
            <w:r w:rsidR="00903FEA" w:rsidRPr="00913813">
              <w:rPr>
                <w:rFonts w:asciiTheme="minorHAnsi" w:hAnsiTheme="minorHAnsi" w:cstheme="minorHAnsi"/>
                <w:color w:val="222222"/>
                <w:sz w:val="16"/>
                <w:szCs w:val="16"/>
              </w:rPr>
              <w:t>e</w:t>
            </w:r>
            <w:r w:rsidR="00D01A8E" w:rsidRPr="00913813">
              <w:rPr>
                <w:rFonts w:asciiTheme="minorHAnsi" w:hAnsiTheme="minorHAnsi" w:cstheme="minorHAnsi"/>
                <w:color w:val="222222"/>
                <w:sz w:val="16"/>
                <w:szCs w:val="16"/>
              </w:rPr>
              <w:t xml:space="preserve">ntify </w:t>
            </w:r>
            <w:r w:rsidR="006B22B4" w:rsidRPr="00913813">
              <w:rPr>
                <w:rFonts w:asciiTheme="minorHAnsi" w:hAnsiTheme="minorHAnsi" w:cstheme="minorHAnsi"/>
                <w:color w:val="222222"/>
                <w:sz w:val="16"/>
                <w:szCs w:val="16"/>
              </w:rPr>
              <w:t>area of focus from 2023 Global Survey).</w:t>
            </w:r>
          </w:p>
        </w:tc>
        <w:tc>
          <w:tcPr>
            <w:tcW w:w="3783" w:type="dxa"/>
            <w:shd w:val="clear" w:color="auto" w:fill="92D050"/>
            <w:vAlign w:val="center"/>
          </w:tcPr>
          <w:p w14:paraId="291112CB" w14:textId="77777777" w:rsidR="00C91242" w:rsidRPr="00913813" w:rsidRDefault="00903FEA" w:rsidP="0084525B">
            <w:pPr>
              <w:rPr>
                <w:rFonts w:asciiTheme="minorHAnsi" w:hAnsiTheme="minorHAnsi" w:cstheme="minorHAnsi"/>
                <w:color w:val="222222"/>
                <w:sz w:val="16"/>
                <w:szCs w:val="16"/>
              </w:rPr>
            </w:pPr>
            <w:r w:rsidRPr="00913813">
              <w:rPr>
                <w:rFonts w:asciiTheme="minorHAnsi" w:hAnsiTheme="minorHAnsi" w:cstheme="minorHAnsi"/>
                <w:color w:val="222222"/>
                <w:sz w:val="16"/>
                <w:szCs w:val="16"/>
              </w:rPr>
              <w:t xml:space="preserve">First </w:t>
            </w:r>
            <w:proofErr w:type="spellStart"/>
            <w:r w:rsidRPr="00913813">
              <w:rPr>
                <w:rFonts w:asciiTheme="minorHAnsi" w:hAnsiTheme="minorHAnsi" w:cstheme="minorHAnsi"/>
                <w:color w:val="222222"/>
                <w:sz w:val="16"/>
                <w:szCs w:val="16"/>
              </w:rPr>
              <w:t>blogspot</w:t>
            </w:r>
            <w:proofErr w:type="spellEnd"/>
            <w:r w:rsidRPr="00913813">
              <w:rPr>
                <w:rFonts w:asciiTheme="minorHAnsi" w:hAnsiTheme="minorHAnsi" w:cstheme="minorHAnsi"/>
                <w:color w:val="222222"/>
                <w:sz w:val="16"/>
                <w:szCs w:val="16"/>
              </w:rPr>
              <w:t xml:space="preserve"> (IFAC on ISSAI 150 implementations and the role of PAOs) published, </w:t>
            </w:r>
            <w:r w:rsidR="00EC7433" w:rsidRPr="00913813">
              <w:rPr>
                <w:rFonts w:asciiTheme="minorHAnsi" w:hAnsiTheme="minorHAnsi" w:cstheme="minorHAnsi"/>
                <w:color w:val="222222"/>
                <w:sz w:val="16"/>
                <w:szCs w:val="16"/>
              </w:rPr>
              <w:t>while work is underway for the SAI Brazil contribution.</w:t>
            </w:r>
          </w:p>
          <w:p w14:paraId="51411372" w14:textId="77777777" w:rsidR="00AF3A26" w:rsidRPr="00913813" w:rsidRDefault="00AF3A26" w:rsidP="0084525B">
            <w:pPr>
              <w:rPr>
                <w:rFonts w:asciiTheme="minorHAnsi" w:hAnsiTheme="minorHAnsi" w:cstheme="minorHAnsi"/>
                <w:color w:val="222222"/>
                <w:sz w:val="16"/>
                <w:szCs w:val="16"/>
              </w:rPr>
            </w:pPr>
          </w:p>
          <w:p w14:paraId="4E257618" w14:textId="13A0DCBD" w:rsidR="00AF3A26" w:rsidRPr="00913813" w:rsidRDefault="00AF3A26" w:rsidP="0084525B">
            <w:pPr>
              <w:rPr>
                <w:rFonts w:asciiTheme="minorHAnsi" w:hAnsiTheme="minorHAnsi" w:cstheme="minorHAnsi"/>
                <w:color w:val="222222"/>
                <w:sz w:val="16"/>
                <w:szCs w:val="16"/>
              </w:rPr>
            </w:pPr>
            <w:r w:rsidRPr="00913813">
              <w:rPr>
                <w:rFonts w:asciiTheme="minorHAnsi" w:hAnsiTheme="minorHAnsi" w:cstheme="minorHAnsi"/>
                <w:color w:val="222222"/>
                <w:sz w:val="16"/>
                <w:szCs w:val="16"/>
              </w:rPr>
              <w:t>First 2023 TFIAP webinar – planned for September 2023.</w:t>
            </w:r>
          </w:p>
        </w:tc>
      </w:tr>
      <w:tr w:rsidR="00C91242" w14:paraId="04F13AE0" w14:textId="77777777" w:rsidTr="0078523C">
        <w:trPr>
          <w:trHeight w:val="1121"/>
        </w:trPr>
        <w:tc>
          <w:tcPr>
            <w:tcW w:w="1844" w:type="dxa"/>
            <w:vMerge/>
            <w:vAlign w:val="center"/>
          </w:tcPr>
          <w:p w14:paraId="6C928682" w14:textId="77777777" w:rsidR="00C91242" w:rsidRPr="00913813" w:rsidRDefault="00C91242" w:rsidP="0084525B">
            <w:pPr>
              <w:rPr>
                <w:rFonts w:cstheme="minorHAnsi"/>
                <w:color w:val="222222"/>
                <w:sz w:val="16"/>
                <w:szCs w:val="16"/>
              </w:rPr>
            </w:pPr>
          </w:p>
        </w:tc>
        <w:tc>
          <w:tcPr>
            <w:tcW w:w="2732" w:type="dxa"/>
            <w:vMerge/>
            <w:vAlign w:val="center"/>
          </w:tcPr>
          <w:p w14:paraId="4C3F2981" w14:textId="5710DEBF" w:rsidR="00C91242" w:rsidRPr="00913813" w:rsidRDefault="00C91242" w:rsidP="0084525B">
            <w:pPr>
              <w:spacing w:line="276" w:lineRule="auto"/>
              <w:rPr>
                <w:rFonts w:asciiTheme="minorHAnsi" w:hAnsiTheme="minorHAnsi" w:cstheme="minorHAnsi"/>
                <w:color w:val="222222"/>
                <w:sz w:val="16"/>
                <w:szCs w:val="16"/>
              </w:rPr>
            </w:pPr>
          </w:p>
        </w:tc>
        <w:tc>
          <w:tcPr>
            <w:tcW w:w="2835" w:type="dxa"/>
            <w:shd w:val="clear" w:color="auto" w:fill="FFFFFF" w:themeFill="background1"/>
            <w:vAlign w:val="center"/>
          </w:tcPr>
          <w:p w14:paraId="2E281281" w14:textId="3E7DEA3D" w:rsidR="00C91242" w:rsidRPr="00913813" w:rsidRDefault="00C91242" w:rsidP="0084525B">
            <w:pPr>
              <w:spacing w:line="276" w:lineRule="auto"/>
              <w:rPr>
                <w:rFonts w:asciiTheme="minorHAnsi" w:hAnsiTheme="minorHAnsi" w:cstheme="minorHAnsi"/>
                <w:color w:val="222222"/>
                <w:sz w:val="16"/>
                <w:szCs w:val="16"/>
              </w:rPr>
            </w:pPr>
            <w:r w:rsidRPr="00913813">
              <w:rPr>
                <w:rFonts w:asciiTheme="minorHAnsi" w:hAnsiTheme="minorHAnsi" w:cstheme="minorHAnsi"/>
                <w:iCs/>
                <w:sz w:val="16"/>
                <w:szCs w:val="16"/>
                <w:lang w:val="en-ZA"/>
              </w:rPr>
              <w:t>Cementing the SAI-PAO relationship as an enabler of professionalisation sustainability</w:t>
            </w:r>
            <w:r w:rsidR="00713A15" w:rsidRPr="00913813">
              <w:rPr>
                <w:rFonts w:asciiTheme="minorHAnsi" w:hAnsiTheme="minorHAnsi" w:cstheme="minorHAnsi"/>
                <w:iCs/>
                <w:sz w:val="16"/>
                <w:szCs w:val="16"/>
                <w:lang w:val="en-ZA"/>
              </w:rPr>
              <w:t xml:space="preserve"> (2023 – emphasis on establishing relationships and advocacy amongst SAIs and PAOs</w:t>
            </w:r>
            <w:r w:rsidR="006D1701" w:rsidRPr="00913813">
              <w:rPr>
                <w:rFonts w:asciiTheme="minorHAnsi" w:hAnsiTheme="minorHAnsi" w:cstheme="minorHAnsi"/>
                <w:iCs/>
                <w:sz w:val="16"/>
                <w:szCs w:val="16"/>
                <w:lang w:val="en-ZA"/>
              </w:rPr>
              <w:t xml:space="preserve"> through sharing of best practices; 2024</w:t>
            </w:r>
            <w:r w:rsidR="00F339AA" w:rsidRPr="00913813">
              <w:rPr>
                <w:rFonts w:asciiTheme="minorHAnsi" w:hAnsiTheme="minorHAnsi" w:cstheme="minorHAnsi"/>
                <w:iCs/>
                <w:sz w:val="16"/>
                <w:szCs w:val="16"/>
                <w:lang w:val="en-ZA"/>
              </w:rPr>
              <w:t xml:space="preserve"> and beyond</w:t>
            </w:r>
            <w:r w:rsidR="006D1701" w:rsidRPr="00913813">
              <w:rPr>
                <w:rFonts w:asciiTheme="minorHAnsi" w:hAnsiTheme="minorHAnsi" w:cstheme="minorHAnsi"/>
                <w:iCs/>
                <w:sz w:val="16"/>
                <w:szCs w:val="16"/>
                <w:lang w:val="en-ZA"/>
              </w:rPr>
              <w:t xml:space="preserve"> – consider guidance on a) establishing PAO relationships (from view of SAIs) and b) demystifying SAIs as a “target market” for PAO capacity development</w:t>
            </w:r>
            <w:r w:rsidR="00F339AA" w:rsidRPr="00913813">
              <w:rPr>
                <w:rFonts w:asciiTheme="minorHAnsi" w:hAnsiTheme="minorHAnsi" w:cstheme="minorHAnsi"/>
                <w:iCs/>
                <w:sz w:val="16"/>
                <w:szCs w:val="16"/>
                <w:lang w:val="en-ZA"/>
              </w:rPr>
              <w:t>.</w:t>
            </w:r>
          </w:p>
        </w:tc>
        <w:tc>
          <w:tcPr>
            <w:tcW w:w="4252" w:type="dxa"/>
            <w:vAlign w:val="center"/>
          </w:tcPr>
          <w:p w14:paraId="335E73A8" w14:textId="04A9557C" w:rsidR="00C91242" w:rsidRPr="00913813" w:rsidRDefault="003A70AF" w:rsidP="0084525B">
            <w:pPr>
              <w:spacing w:line="276" w:lineRule="auto"/>
              <w:rPr>
                <w:rFonts w:asciiTheme="minorHAnsi" w:hAnsiTheme="minorHAnsi" w:cstheme="minorHAnsi"/>
                <w:color w:val="222222"/>
                <w:sz w:val="16"/>
                <w:szCs w:val="16"/>
              </w:rPr>
            </w:pPr>
            <w:r w:rsidRPr="00913813">
              <w:rPr>
                <w:rFonts w:asciiTheme="minorHAnsi" w:hAnsiTheme="minorHAnsi" w:cstheme="minorHAnsi"/>
                <w:color w:val="222222"/>
                <w:sz w:val="16"/>
                <w:szCs w:val="16"/>
              </w:rPr>
              <w:t>4</w:t>
            </w:r>
            <w:r w:rsidR="00846123" w:rsidRPr="00913813">
              <w:rPr>
                <w:rFonts w:asciiTheme="minorHAnsi" w:hAnsiTheme="minorHAnsi" w:cstheme="minorHAnsi"/>
                <w:color w:val="222222"/>
                <w:sz w:val="16"/>
                <w:szCs w:val="16"/>
              </w:rPr>
              <w:t>.2</w:t>
            </w:r>
            <w:r w:rsidR="00714417" w:rsidRPr="00913813">
              <w:rPr>
                <w:rFonts w:asciiTheme="minorHAnsi" w:hAnsiTheme="minorHAnsi" w:cstheme="minorHAnsi"/>
                <w:color w:val="222222"/>
                <w:sz w:val="16"/>
                <w:szCs w:val="16"/>
              </w:rPr>
              <w:t>.1</w:t>
            </w:r>
            <w:r w:rsidR="001E2ED8" w:rsidRPr="00913813">
              <w:rPr>
                <w:rFonts w:asciiTheme="minorHAnsi" w:hAnsiTheme="minorHAnsi" w:cstheme="minorHAnsi"/>
                <w:color w:val="222222"/>
                <w:sz w:val="16"/>
                <w:szCs w:val="16"/>
              </w:rPr>
              <w:t xml:space="preserve"> Establish enabling relationships with PAO</w:t>
            </w:r>
            <w:r w:rsidR="00F339AA" w:rsidRPr="00913813">
              <w:rPr>
                <w:rFonts w:asciiTheme="minorHAnsi" w:hAnsiTheme="minorHAnsi" w:cstheme="minorHAnsi"/>
                <w:color w:val="222222"/>
                <w:sz w:val="16"/>
                <w:szCs w:val="16"/>
              </w:rPr>
              <w:t xml:space="preserve"> “regulators” (such as IFAC</w:t>
            </w:r>
            <w:r w:rsidR="00167C97" w:rsidRPr="00913813">
              <w:rPr>
                <w:rFonts w:asciiTheme="minorHAnsi" w:hAnsiTheme="minorHAnsi" w:cstheme="minorHAnsi"/>
                <w:color w:val="222222"/>
                <w:sz w:val="16"/>
                <w:szCs w:val="16"/>
              </w:rPr>
              <w:t xml:space="preserve"> and IIA</w:t>
            </w:r>
            <w:r w:rsidR="00AA7D99" w:rsidRPr="00913813">
              <w:rPr>
                <w:rFonts w:asciiTheme="minorHAnsi" w:hAnsiTheme="minorHAnsi" w:cstheme="minorHAnsi"/>
                <w:color w:val="222222"/>
                <w:sz w:val="16"/>
                <w:szCs w:val="16"/>
              </w:rPr>
              <w:t>)</w:t>
            </w:r>
            <w:r w:rsidR="00B86812" w:rsidRPr="00913813">
              <w:rPr>
                <w:rFonts w:asciiTheme="minorHAnsi" w:hAnsiTheme="minorHAnsi" w:cstheme="minorHAnsi"/>
                <w:color w:val="222222"/>
                <w:sz w:val="16"/>
                <w:szCs w:val="16"/>
              </w:rPr>
              <w:t xml:space="preserve">, PAO regional structures (such as </w:t>
            </w:r>
            <w:r w:rsidR="005B57FD" w:rsidRPr="00913813">
              <w:rPr>
                <w:rFonts w:asciiTheme="minorHAnsi" w:hAnsiTheme="minorHAnsi" w:cstheme="minorHAnsi"/>
                <w:color w:val="222222"/>
                <w:sz w:val="16"/>
                <w:szCs w:val="16"/>
              </w:rPr>
              <w:t>CAPA)</w:t>
            </w:r>
            <w:r w:rsidR="00AA7D99" w:rsidRPr="00913813">
              <w:rPr>
                <w:rFonts w:asciiTheme="minorHAnsi" w:hAnsiTheme="minorHAnsi" w:cstheme="minorHAnsi"/>
                <w:color w:val="222222"/>
                <w:sz w:val="16"/>
                <w:szCs w:val="16"/>
              </w:rPr>
              <w:t xml:space="preserve"> and global PAOs (ACCA, CIPFA) a</w:t>
            </w:r>
            <w:r w:rsidR="00714417" w:rsidRPr="00913813">
              <w:rPr>
                <w:rFonts w:asciiTheme="minorHAnsi" w:hAnsiTheme="minorHAnsi" w:cstheme="minorHAnsi"/>
                <w:color w:val="222222"/>
                <w:sz w:val="16"/>
                <w:szCs w:val="16"/>
              </w:rPr>
              <w:t xml:space="preserve">s key partnerships in auditor </w:t>
            </w:r>
            <w:proofErr w:type="spellStart"/>
            <w:r w:rsidR="00714417" w:rsidRPr="00913813">
              <w:rPr>
                <w:rFonts w:asciiTheme="minorHAnsi" w:hAnsiTheme="minorHAnsi" w:cstheme="minorHAnsi"/>
                <w:color w:val="222222"/>
                <w:sz w:val="16"/>
                <w:szCs w:val="16"/>
              </w:rPr>
              <w:t>professionalisation</w:t>
            </w:r>
            <w:proofErr w:type="spellEnd"/>
            <w:r w:rsidR="00B440B8" w:rsidRPr="00913813">
              <w:rPr>
                <w:rFonts w:asciiTheme="minorHAnsi" w:hAnsiTheme="minorHAnsi" w:cstheme="minorHAnsi"/>
                <w:color w:val="222222"/>
                <w:sz w:val="16"/>
                <w:szCs w:val="16"/>
              </w:rPr>
              <w:t xml:space="preserve"> (2023)</w:t>
            </w:r>
            <w:r w:rsidR="00714417" w:rsidRPr="00913813">
              <w:rPr>
                <w:rFonts w:asciiTheme="minorHAnsi" w:hAnsiTheme="minorHAnsi" w:cstheme="minorHAnsi"/>
                <w:color w:val="222222"/>
                <w:sz w:val="16"/>
                <w:szCs w:val="16"/>
              </w:rPr>
              <w:t>,</w:t>
            </w:r>
          </w:p>
          <w:p w14:paraId="797BF1FC" w14:textId="77777777" w:rsidR="00714417" w:rsidRPr="00913813" w:rsidRDefault="00714417" w:rsidP="0084525B">
            <w:pPr>
              <w:spacing w:line="276" w:lineRule="auto"/>
              <w:rPr>
                <w:rFonts w:asciiTheme="minorHAnsi" w:hAnsiTheme="minorHAnsi" w:cstheme="minorHAnsi"/>
                <w:color w:val="222222"/>
                <w:sz w:val="16"/>
                <w:szCs w:val="16"/>
              </w:rPr>
            </w:pPr>
          </w:p>
          <w:p w14:paraId="78B69655" w14:textId="1DEC54D0" w:rsidR="00714417" w:rsidRPr="00913813" w:rsidRDefault="00714417" w:rsidP="0084525B">
            <w:pPr>
              <w:spacing w:line="276" w:lineRule="auto"/>
              <w:rPr>
                <w:rFonts w:asciiTheme="minorHAnsi" w:hAnsiTheme="minorHAnsi" w:cstheme="minorHAnsi"/>
                <w:color w:val="222222"/>
                <w:sz w:val="16"/>
                <w:szCs w:val="16"/>
              </w:rPr>
            </w:pPr>
            <w:r w:rsidRPr="00913813">
              <w:rPr>
                <w:rFonts w:asciiTheme="minorHAnsi" w:hAnsiTheme="minorHAnsi" w:cstheme="minorHAnsi"/>
                <w:color w:val="222222"/>
                <w:sz w:val="16"/>
                <w:szCs w:val="16"/>
              </w:rPr>
              <w:t>4.2.2 Share case studies</w:t>
            </w:r>
            <w:r w:rsidR="004F65B5" w:rsidRPr="00913813">
              <w:rPr>
                <w:rFonts w:asciiTheme="minorHAnsi" w:hAnsiTheme="minorHAnsi" w:cstheme="minorHAnsi"/>
                <w:color w:val="222222"/>
                <w:sz w:val="16"/>
                <w:szCs w:val="16"/>
              </w:rPr>
              <w:t xml:space="preserve"> on partnering between SAIs and PAOs in the drive to </w:t>
            </w:r>
            <w:proofErr w:type="spellStart"/>
            <w:r w:rsidR="004F65B5" w:rsidRPr="00913813">
              <w:rPr>
                <w:rFonts w:asciiTheme="minorHAnsi" w:hAnsiTheme="minorHAnsi" w:cstheme="minorHAnsi"/>
                <w:color w:val="222222"/>
                <w:sz w:val="16"/>
                <w:szCs w:val="16"/>
              </w:rPr>
              <w:t>profes</w:t>
            </w:r>
            <w:r w:rsidR="00B96B04" w:rsidRPr="00913813">
              <w:rPr>
                <w:rFonts w:asciiTheme="minorHAnsi" w:hAnsiTheme="minorHAnsi" w:cstheme="minorHAnsi"/>
                <w:color w:val="222222"/>
                <w:sz w:val="16"/>
                <w:szCs w:val="16"/>
              </w:rPr>
              <w:t>sionalise</w:t>
            </w:r>
            <w:proofErr w:type="spellEnd"/>
            <w:r w:rsidR="00B96B04" w:rsidRPr="00913813">
              <w:rPr>
                <w:rFonts w:asciiTheme="minorHAnsi" w:hAnsiTheme="minorHAnsi" w:cstheme="minorHAnsi"/>
                <w:color w:val="222222"/>
                <w:sz w:val="16"/>
                <w:szCs w:val="16"/>
              </w:rPr>
              <w:t xml:space="preserve"> SAI auditors (</w:t>
            </w:r>
            <w:r w:rsidR="00B440B8" w:rsidRPr="00913813">
              <w:rPr>
                <w:rFonts w:asciiTheme="minorHAnsi" w:hAnsiTheme="minorHAnsi" w:cstheme="minorHAnsi"/>
                <w:color w:val="222222"/>
                <w:sz w:val="16"/>
                <w:szCs w:val="16"/>
              </w:rPr>
              <w:t>2023)</w:t>
            </w:r>
            <w:r w:rsidR="0078523C" w:rsidRPr="00913813">
              <w:rPr>
                <w:rFonts w:asciiTheme="minorHAnsi" w:hAnsiTheme="minorHAnsi" w:cstheme="minorHAnsi"/>
                <w:color w:val="222222"/>
                <w:sz w:val="16"/>
                <w:szCs w:val="16"/>
              </w:rPr>
              <w:t xml:space="preserve"> (co</w:t>
            </w:r>
            <w:r w:rsidR="00662C20" w:rsidRPr="00913813">
              <w:rPr>
                <w:rFonts w:asciiTheme="minorHAnsi" w:hAnsiTheme="minorHAnsi" w:cstheme="minorHAnsi"/>
                <w:color w:val="222222"/>
                <w:sz w:val="16"/>
                <w:szCs w:val="16"/>
              </w:rPr>
              <w:t>ordinate</w:t>
            </w:r>
            <w:r w:rsidR="0078523C" w:rsidRPr="00913813">
              <w:rPr>
                <w:rFonts w:asciiTheme="minorHAnsi" w:hAnsiTheme="minorHAnsi" w:cstheme="minorHAnsi"/>
                <w:color w:val="222222"/>
                <w:sz w:val="16"/>
                <w:szCs w:val="16"/>
              </w:rPr>
              <w:t xml:space="preserve"> with</w:t>
            </w:r>
            <w:r w:rsidR="004B124F" w:rsidRPr="00913813">
              <w:rPr>
                <w:rFonts w:asciiTheme="minorHAnsi" w:hAnsiTheme="minorHAnsi" w:cstheme="minorHAnsi"/>
                <w:color w:val="222222"/>
                <w:sz w:val="16"/>
                <w:szCs w:val="16"/>
              </w:rPr>
              <w:t xml:space="preserve"> 4.1.1)</w:t>
            </w:r>
            <w:r w:rsidR="00B440B8" w:rsidRPr="00913813">
              <w:rPr>
                <w:rFonts w:asciiTheme="minorHAnsi" w:hAnsiTheme="minorHAnsi" w:cstheme="minorHAnsi"/>
                <w:color w:val="222222"/>
                <w:sz w:val="16"/>
                <w:szCs w:val="16"/>
              </w:rPr>
              <w:t>, and</w:t>
            </w:r>
          </w:p>
          <w:p w14:paraId="412D21FF" w14:textId="77777777" w:rsidR="00B440B8" w:rsidRPr="00913813" w:rsidRDefault="00B440B8" w:rsidP="0084525B">
            <w:pPr>
              <w:spacing w:line="276" w:lineRule="auto"/>
              <w:rPr>
                <w:rFonts w:asciiTheme="minorHAnsi" w:hAnsiTheme="minorHAnsi" w:cstheme="minorHAnsi"/>
                <w:color w:val="222222"/>
                <w:sz w:val="16"/>
                <w:szCs w:val="16"/>
              </w:rPr>
            </w:pPr>
          </w:p>
          <w:p w14:paraId="7C5B482D" w14:textId="77777777" w:rsidR="00B440B8" w:rsidRPr="00913813" w:rsidRDefault="00B440B8" w:rsidP="0084525B">
            <w:pPr>
              <w:spacing w:line="276" w:lineRule="auto"/>
              <w:rPr>
                <w:rFonts w:asciiTheme="minorHAnsi" w:hAnsiTheme="minorHAnsi" w:cstheme="minorHAnsi"/>
                <w:color w:val="222222"/>
                <w:sz w:val="16"/>
                <w:szCs w:val="16"/>
              </w:rPr>
            </w:pPr>
            <w:r w:rsidRPr="00913813">
              <w:rPr>
                <w:rFonts w:asciiTheme="minorHAnsi" w:hAnsiTheme="minorHAnsi" w:cstheme="minorHAnsi"/>
                <w:color w:val="222222"/>
                <w:sz w:val="16"/>
                <w:szCs w:val="16"/>
              </w:rPr>
              <w:t>4.2.3 Develop guidance (outside IFPP) on the working relationships between PAOs and SAIs</w:t>
            </w:r>
            <w:r w:rsidR="0078523C" w:rsidRPr="00913813">
              <w:rPr>
                <w:rFonts w:asciiTheme="minorHAnsi" w:hAnsiTheme="minorHAnsi" w:cstheme="minorHAnsi"/>
                <w:color w:val="222222"/>
                <w:sz w:val="16"/>
                <w:szCs w:val="16"/>
              </w:rPr>
              <w:t>.</w:t>
            </w:r>
          </w:p>
          <w:p w14:paraId="1D055B9D" w14:textId="77777777" w:rsidR="002B5B56" w:rsidRPr="00913813" w:rsidRDefault="002B5B56" w:rsidP="0084525B">
            <w:pPr>
              <w:spacing w:line="276" w:lineRule="auto"/>
              <w:rPr>
                <w:rFonts w:asciiTheme="minorHAnsi" w:hAnsiTheme="minorHAnsi" w:cstheme="minorHAnsi"/>
                <w:color w:val="222222"/>
                <w:sz w:val="16"/>
                <w:szCs w:val="16"/>
              </w:rPr>
            </w:pPr>
          </w:p>
          <w:p w14:paraId="525AB422" w14:textId="04849370" w:rsidR="002B5B56" w:rsidRPr="00913813" w:rsidRDefault="002B5B56" w:rsidP="0084525B">
            <w:pPr>
              <w:spacing w:line="276" w:lineRule="auto"/>
              <w:rPr>
                <w:rFonts w:asciiTheme="minorHAnsi" w:hAnsiTheme="minorHAnsi" w:cstheme="minorHAnsi"/>
                <w:color w:val="222222"/>
                <w:sz w:val="16"/>
                <w:szCs w:val="16"/>
              </w:rPr>
            </w:pPr>
            <w:r w:rsidRPr="00913813">
              <w:rPr>
                <w:rFonts w:asciiTheme="minorHAnsi" w:hAnsiTheme="minorHAnsi" w:cstheme="minorHAnsi"/>
                <w:color w:val="222222"/>
                <w:sz w:val="16"/>
                <w:szCs w:val="16"/>
              </w:rPr>
              <w:t>(Note – certain projects may also be initiated from the side of PAOs that may require TFIAP inputs / participation</w:t>
            </w:r>
            <w:r w:rsidR="001A4D89" w:rsidRPr="00913813">
              <w:rPr>
                <w:rFonts w:asciiTheme="minorHAnsi" w:hAnsiTheme="minorHAnsi" w:cstheme="minorHAnsi"/>
                <w:color w:val="222222"/>
                <w:sz w:val="16"/>
                <w:szCs w:val="16"/>
              </w:rPr>
              <w:t>. An example is CPIFA’s current initiative to create a formalized global qualification for performance auditing)</w:t>
            </w:r>
          </w:p>
        </w:tc>
        <w:tc>
          <w:tcPr>
            <w:tcW w:w="3783" w:type="dxa"/>
            <w:shd w:val="clear" w:color="auto" w:fill="92D050"/>
            <w:vAlign w:val="center"/>
          </w:tcPr>
          <w:p w14:paraId="66FC3BDE" w14:textId="77777777" w:rsidR="00C91242" w:rsidRPr="00913813" w:rsidRDefault="0078523C" w:rsidP="00FD3673">
            <w:pPr>
              <w:rPr>
                <w:rFonts w:asciiTheme="minorHAnsi" w:hAnsiTheme="minorHAnsi" w:cstheme="minorHAnsi"/>
                <w:sz w:val="16"/>
                <w:szCs w:val="16"/>
              </w:rPr>
            </w:pPr>
            <w:r w:rsidRPr="00913813">
              <w:rPr>
                <w:rFonts w:asciiTheme="minorHAnsi" w:hAnsiTheme="minorHAnsi" w:cstheme="minorHAnsi"/>
                <w:sz w:val="16"/>
                <w:szCs w:val="16"/>
              </w:rPr>
              <w:t>Working relationships with IFA</w:t>
            </w:r>
            <w:r w:rsidR="004B124F" w:rsidRPr="00913813">
              <w:rPr>
                <w:rFonts w:asciiTheme="minorHAnsi" w:hAnsiTheme="minorHAnsi" w:cstheme="minorHAnsi"/>
                <w:sz w:val="16"/>
                <w:szCs w:val="16"/>
              </w:rPr>
              <w:t xml:space="preserve">C confirmed, with first CBC </w:t>
            </w:r>
            <w:proofErr w:type="spellStart"/>
            <w:r w:rsidR="004B124F" w:rsidRPr="00913813">
              <w:rPr>
                <w:rFonts w:asciiTheme="minorHAnsi" w:hAnsiTheme="minorHAnsi" w:cstheme="minorHAnsi"/>
                <w:sz w:val="16"/>
                <w:szCs w:val="16"/>
              </w:rPr>
              <w:t>blogspot</w:t>
            </w:r>
            <w:proofErr w:type="spellEnd"/>
            <w:r w:rsidR="004B124F" w:rsidRPr="00913813">
              <w:rPr>
                <w:rFonts w:asciiTheme="minorHAnsi" w:hAnsiTheme="minorHAnsi" w:cstheme="minorHAnsi"/>
                <w:sz w:val="16"/>
                <w:szCs w:val="16"/>
              </w:rPr>
              <w:t xml:space="preserve"> contribution</w:t>
            </w:r>
            <w:r w:rsidR="00FD3673" w:rsidRPr="00913813">
              <w:rPr>
                <w:rFonts w:asciiTheme="minorHAnsi" w:hAnsiTheme="minorHAnsi" w:cstheme="minorHAnsi"/>
                <w:sz w:val="16"/>
                <w:szCs w:val="16"/>
              </w:rPr>
              <w:t xml:space="preserve"> done.</w:t>
            </w:r>
          </w:p>
          <w:p w14:paraId="6DC530DF" w14:textId="77777777" w:rsidR="00FD3673" w:rsidRPr="00913813" w:rsidRDefault="00FD3673" w:rsidP="00FD3673">
            <w:pPr>
              <w:rPr>
                <w:rFonts w:asciiTheme="minorHAnsi" w:hAnsiTheme="minorHAnsi" w:cstheme="minorHAnsi"/>
                <w:sz w:val="16"/>
                <w:szCs w:val="16"/>
              </w:rPr>
            </w:pPr>
          </w:p>
          <w:p w14:paraId="27409589" w14:textId="36714150" w:rsidR="00FD3673" w:rsidRPr="00913813" w:rsidRDefault="00FD3673" w:rsidP="00FD3673">
            <w:pPr>
              <w:rPr>
                <w:rFonts w:asciiTheme="minorHAnsi" w:hAnsiTheme="minorHAnsi" w:cstheme="minorHAnsi"/>
                <w:sz w:val="16"/>
                <w:szCs w:val="16"/>
              </w:rPr>
            </w:pPr>
            <w:r w:rsidRPr="00913813">
              <w:rPr>
                <w:rFonts w:asciiTheme="minorHAnsi" w:hAnsiTheme="minorHAnsi" w:cstheme="minorHAnsi"/>
                <w:sz w:val="16"/>
                <w:szCs w:val="16"/>
              </w:rPr>
              <w:t xml:space="preserve">Outreach to entities such as IIA, CIPFA and ACCA </w:t>
            </w:r>
            <w:r w:rsidR="004208AF" w:rsidRPr="00913813">
              <w:rPr>
                <w:rFonts w:asciiTheme="minorHAnsi" w:hAnsiTheme="minorHAnsi" w:cstheme="minorHAnsi"/>
                <w:sz w:val="16"/>
                <w:szCs w:val="16"/>
              </w:rPr>
              <w:t>underway</w:t>
            </w:r>
            <w:r w:rsidR="002B5B56" w:rsidRPr="00913813">
              <w:rPr>
                <w:rFonts w:asciiTheme="minorHAnsi" w:hAnsiTheme="minorHAnsi" w:cstheme="minorHAnsi"/>
                <w:sz w:val="16"/>
                <w:szCs w:val="16"/>
              </w:rPr>
              <w:t>.</w:t>
            </w:r>
          </w:p>
          <w:p w14:paraId="106CC561" w14:textId="77777777" w:rsidR="008C45AA" w:rsidRPr="00913813" w:rsidRDefault="008C45AA" w:rsidP="00FD3673">
            <w:pPr>
              <w:rPr>
                <w:rFonts w:asciiTheme="minorHAnsi" w:hAnsiTheme="minorHAnsi" w:cstheme="minorHAnsi"/>
                <w:sz w:val="16"/>
                <w:szCs w:val="16"/>
              </w:rPr>
            </w:pPr>
          </w:p>
          <w:p w14:paraId="7CBD4AF3" w14:textId="63EF3A2C" w:rsidR="00662C20" w:rsidRPr="00913813" w:rsidRDefault="008C45AA" w:rsidP="00FD3673">
            <w:pPr>
              <w:rPr>
                <w:rFonts w:asciiTheme="minorHAnsi" w:hAnsiTheme="minorHAnsi" w:cstheme="minorHAnsi"/>
                <w:sz w:val="16"/>
                <w:szCs w:val="16"/>
              </w:rPr>
            </w:pPr>
            <w:r w:rsidRPr="00913813">
              <w:rPr>
                <w:rFonts w:asciiTheme="minorHAnsi" w:hAnsiTheme="minorHAnsi" w:cstheme="minorHAnsi"/>
                <w:sz w:val="16"/>
                <w:szCs w:val="16"/>
              </w:rPr>
              <w:t xml:space="preserve">2023 CBC meeting in Jamaica – emphasis on enabling relationship (dedicated session on auditor </w:t>
            </w:r>
            <w:proofErr w:type="spellStart"/>
            <w:r w:rsidRPr="00913813">
              <w:rPr>
                <w:rFonts w:asciiTheme="minorHAnsi" w:hAnsiTheme="minorHAnsi" w:cstheme="minorHAnsi"/>
                <w:sz w:val="16"/>
                <w:szCs w:val="16"/>
              </w:rPr>
              <w:t>professionalisation</w:t>
            </w:r>
            <w:proofErr w:type="spellEnd"/>
            <w:r w:rsidRPr="00913813">
              <w:rPr>
                <w:rFonts w:asciiTheme="minorHAnsi" w:hAnsiTheme="minorHAnsi" w:cstheme="minorHAnsi"/>
                <w:sz w:val="16"/>
                <w:szCs w:val="16"/>
              </w:rPr>
              <w:t>)</w:t>
            </w:r>
          </w:p>
        </w:tc>
      </w:tr>
      <w:tr w:rsidR="00C91242" w14:paraId="5E21EA1D" w14:textId="77777777" w:rsidTr="000F2C77">
        <w:trPr>
          <w:trHeight w:val="1967"/>
        </w:trPr>
        <w:tc>
          <w:tcPr>
            <w:tcW w:w="1844" w:type="dxa"/>
            <w:vMerge/>
            <w:vAlign w:val="center"/>
          </w:tcPr>
          <w:p w14:paraId="2F161D55" w14:textId="77777777" w:rsidR="00C91242" w:rsidRPr="00913813" w:rsidRDefault="00C91242" w:rsidP="0084525B">
            <w:pPr>
              <w:rPr>
                <w:rFonts w:cstheme="minorHAnsi"/>
                <w:color w:val="222222"/>
                <w:sz w:val="16"/>
                <w:szCs w:val="16"/>
              </w:rPr>
            </w:pPr>
          </w:p>
        </w:tc>
        <w:tc>
          <w:tcPr>
            <w:tcW w:w="2732" w:type="dxa"/>
            <w:vMerge/>
            <w:vAlign w:val="center"/>
          </w:tcPr>
          <w:p w14:paraId="7E7010F4" w14:textId="05AF0653" w:rsidR="00C91242" w:rsidRPr="00913813" w:rsidRDefault="00C91242" w:rsidP="0084525B">
            <w:pPr>
              <w:spacing w:line="276" w:lineRule="auto"/>
              <w:rPr>
                <w:rFonts w:asciiTheme="minorHAnsi" w:hAnsiTheme="minorHAnsi" w:cstheme="minorHAnsi"/>
                <w:color w:val="222222"/>
                <w:sz w:val="16"/>
                <w:szCs w:val="16"/>
              </w:rPr>
            </w:pPr>
          </w:p>
        </w:tc>
        <w:tc>
          <w:tcPr>
            <w:tcW w:w="2835" w:type="dxa"/>
            <w:shd w:val="clear" w:color="auto" w:fill="FFFFFF" w:themeFill="background1"/>
            <w:vAlign w:val="center"/>
          </w:tcPr>
          <w:p w14:paraId="2C4760FF" w14:textId="51FCB6B1" w:rsidR="00C91242" w:rsidRPr="00913813" w:rsidRDefault="00C91242" w:rsidP="0084525B">
            <w:pPr>
              <w:spacing w:line="276" w:lineRule="auto"/>
              <w:rPr>
                <w:rFonts w:asciiTheme="minorHAnsi" w:hAnsiTheme="minorHAnsi" w:cstheme="minorHAnsi"/>
                <w:color w:val="222222"/>
                <w:sz w:val="16"/>
                <w:szCs w:val="16"/>
              </w:rPr>
            </w:pPr>
            <w:r w:rsidRPr="00913813">
              <w:rPr>
                <w:rFonts w:asciiTheme="minorHAnsi" w:hAnsiTheme="minorHAnsi" w:cstheme="minorHAnsi"/>
                <w:iCs/>
                <w:sz w:val="16"/>
                <w:szCs w:val="16"/>
                <w:lang w:val="en-ZA"/>
              </w:rPr>
              <w:t>Providing ongoing support to the Professional Education for SAI Auditors (PESA) program run by the INTOSAI Development Initiative (IDI) in the form of participation, provision of material, development of enabling position paper</w:t>
            </w:r>
            <w:r w:rsidR="003537B7" w:rsidRPr="00913813">
              <w:rPr>
                <w:rFonts w:asciiTheme="minorHAnsi" w:hAnsiTheme="minorHAnsi" w:cstheme="minorHAnsi"/>
                <w:iCs/>
                <w:sz w:val="16"/>
                <w:szCs w:val="16"/>
                <w:lang w:val="en-ZA"/>
              </w:rPr>
              <w:t xml:space="preserve"> (specific deliverables and timelines to be confirmed, beyond initial in</w:t>
            </w:r>
            <w:r w:rsidR="00BE31DB" w:rsidRPr="00913813">
              <w:rPr>
                <w:rFonts w:asciiTheme="minorHAnsi" w:hAnsiTheme="minorHAnsi" w:cstheme="minorHAnsi"/>
                <w:iCs/>
                <w:sz w:val="16"/>
                <w:szCs w:val="16"/>
                <w:lang w:val="en-ZA"/>
              </w:rPr>
              <w:t>-</w:t>
            </w:r>
            <w:proofErr w:type="gramStart"/>
            <w:r w:rsidR="003537B7" w:rsidRPr="00913813">
              <w:rPr>
                <w:rFonts w:asciiTheme="minorHAnsi" w:hAnsiTheme="minorHAnsi" w:cstheme="minorHAnsi"/>
                <w:iCs/>
                <w:sz w:val="16"/>
                <w:szCs w:val="16"/>
                <w:lang w:val="en-ZA"/>
              </w:rPr>
              <w:t>principle</w:t>
            </w:r>
            <w:proofErr w:type="gramEnd"/>
            <w:r w:rsidR="003537B7" w:rsidRPr="00913813">
              <w:rPr>
                <w:rFonts w:asciiTheme="minorHAnsi" w:hAnsiTheme="minorHAnsi" w:cstheme="minorHAnsi"/>
                <w:iCs/>
                <w:sz w:val="16"/>
                <w:szCs w:val="16"/>
                <w:lang w:val="en-ZA"/>
              </w:rPr>
              <w:t xml:space="preserve"> contact)</w:t>
            </w:r>
            <w:r w:rsidR="00BE31DB" w:rsidRPr="00913813">
              <w:rPr>
                <w:rFonts w:asciiTheme="minorHAnsi" w:hAnsiTheme="minorHAnsi" w:cstheme="minorHAnsi"/>
                <w:iCs/>
                <w:sz w:val="16"/>
                <w:szCs w:val="16"/>
                <w:lang w:val="en-ZA"/>
              </w:rPr>
              <w:t>.</w:t>
            </w:r>
          </w:p>
        </w:tc>
        <w:tc>
          <w:tcPr>
            <w:tcW w:w="4252" w:type="dxa"/>
            <w:vAlign w:val="center"/>
          </w:tcPr>
          <w:p w14:paraId="2B36BAFC" w14:textId="71E7FA5B" w:rsidR="00FF0C50" w:rsidRPr="00913813" w:rsidRDefault="003A70AF" w:rsidP="0084525B">
            <w:pPr>
              <w:spacing w:line="276" w:lineRule="auto"/>
              <w:rPr>
                <w:rFonts w:asciiTheme="minorHAnsi" w:hAnsiTheme="minorHAnsi" w:cstheme="minorHAnsi"/>
                <w:color w:val="222222"/>
                <w:sz w:val="16"/>
                <w:szCs w:val="16"/>
              </w:rPr>
            </w:pPr>
            <w:r w:rsidRPr="00913813">
              <w:rPr>
                <w:rFonts w:asciiTheme="minorHAnsi" w:hAnsiTheme="minorHAnsi" w:cstheme="minorHAnsi"/>
                <w:color w:val="222222"/>
                <w:sz w:val="16"/>
                <w:szCs w:val="16"/>
              </w:rPr>
              <w:t>4</w:t>
            </w:r>
            <w:r w:rsidR="00846123" w:rsidRPr="00913813">
              <w:rPr>
                <w:rFonts w:asciiTheme="minorHAnsi" w:hAnsiTheme="minorHAnsi" w:cstheme="minorHAnsi"/>
                <w:color w:val="222222"/>
                <w:sz w:val="16"/>
                <w:szCs w:val="16"/>
              </w:rPr>
              <w:t>.3</w:t>
            </w:r>
            <w:r w:rsidR="00930A81" w:rsidRPr="00913813">
              <w:rPr>
                <w:rFonts w:asciiTheme="minorHAnsi" w:hAnsiTheme="minorHAnsi" w:cstheme="minorHAnsi"/>
                <w:color w:val="222222"/>
                <w:sz w:val="16"/>
                <w:szCs w:val="16"/>
              </w:rPr>
              <w:t>.1 Initiate contact with IDI to agree on nature and timing of support (2023), and</w:t>
            </w:r>
          </w:p>
          <w:p w14:paraId="175F50F3" w14:textId="77777777" w:rsidR="00FF0C50" w:rsidRPr="00913813" w:rsidRDefault="00FF0C50" w:rsidP="0084525B">
            <w:pPr>
              <w:spacing w:line="276" w:lineRule="auto"/>
              <w:rPr>
                <w:rFonts w:asciiTheme="minorHAnsi" w:hAnsiTheme="minorHAnsi" w:cstheme="minorHAnsi"/>
                <w:color w:val="222222"/>
                <w:sz w:val="16"/>
                <w:szCs w:val="16"/>
              </w:rPr>
            </w:pPr>
          </w:p>
          <w:p w14:paraId="4960CFF5" w14:textId="2088DEA4" w:rsidR="00930A81" w:rsidRPr="00913813" w:rsidRDefault="003A70AF" w:rsidP="0084525B">
            <w:pPr>
              <w:spacing w:line="276" w:lineRule="auto"/>
              <w:rPr>
                <w:rFonts w:asciiTheme="minorHAnsi" w:hAnsiTheme="minorHAnsi" w:cstheme="minorHAnsi"/>
                <w:color w:val="222222"/>
                <w:sz w:val="16"/>
                <w:szCs w:val="16"/>
              </w:rPr>
            </w:pPr>
            <w:r w:rsidRPr="00913813">
              <w:rPr>
                <w:rFonts w:asciiTheme="minorHAnsi" w:hAnsiTheme="minorHAnsi" w:cstheme="minorHAnsi"/>
                <w:color w:val="222222"/>
                <w:sz w:val="16"/>
                <w:szCs w:val="16"/>
              </w:rPr>
              <w:t>4</w:t>
            </w:r>
            <w:r w:rsidR="00FF0C50" w:rsidRPr="00913813">
              <w:rPr>
                <w:rFonts w:asciiTheme="minorHAnsi" w:hAnsiTheme="minorHAnsi" w:cstheme="minorHAnsi"/>
                <w:color w:val="222222"/>
                <w:sz w:val="16"/>
                <w:szCs w:val="16"/>
              </w:rPr>
              <w:t xml:space="preserve">.3.2 Consider the need to formalize participation in other programs (such as SAI Young leaders) to further advocate for or support processes around auditor </w:t>
            </w:r>
            <w:proofErr w:type="spellStart"/>
            <w:r w:rsidR="00FF0C50" w:rsidRPr="00913813">
              <w:rPr>
                <w:rFonts w:asciiTheme="minorHAnsi" w:hAnsiTheme="minorHAnsi" w:cstheme="minorHAnsi"/>
                <w:color w:val="222222"/>
                <w:sz w:val="16"/>
                <w:szCs w:val="16"/>
              </w:rPr>
              <w:t>professionalisation</w:t>
            </w:r>
            <w:proofErr w:type="spellEnd"/>
            <w:r w:rsidR="00FF0C50" w:rsidRPr="00913813">
              <w:rPr>
                <w:rFonts w:asciiTheme="minorHAnsi" w:hAnsiTheme="minorHAnsi" w:cstheme="minorHAnsi"/>
                <w:color w:val="222222"/>
                <w:sz w:val="16"/>
                <w:szCs w:val="16"/>
              </w:rPr>
              <w:t xml:space="preserve">. </w:t>
            </w:r>
            <w:r w:rsidR="00930A81" w:rsidRPr="00913813">
              <w:rPr>
                <w:rFonts w:asciiTheme="minorHAnsi" w:hAnsiTheme="minorHAnsi" w:cstheme="minorHAnsi"/>
                <w:color w:val="222222"/>
                <w:sz w:val="16"/>
                <w:szCs w:val="16"/>
              </w:rPr>
              <w:t xml:space="preserve"> </w:t>
            </w:r>
          </w:p>
        </w:tc>
        <w:tc>
          <w:tcPr>
            <w:tcW w:w="3783" w:type="dxa"/>
            <w:shd w:val="clear" w:color="auto" w:fill="92D050"/>
            <w:vAlign w:val="center"/>
          </w:tcPr>
          <w:p w14:paraId="79F86064" w14:textId="77777777" w:rsidR="00C91242" w:rsidRPr="00913813" w:rsidRDefault="009A534B" w:rsidP="0084525B">
            <w:pPr>
              <w:rPr>
                <w:rFonts w:asciiTheme="minorHAnsi" w:hAnsiTheme="minorHAnsi" w:cstheme="minorHAnsi"/>
                <w:sz w:val="16"/>
                <w:szCs w:val="16"/>
              </w:rPr>
            </w:pPr>
            <w:r w:rsidRPr="00913813">
              <w:rPr>
                <w:rFonts w:asciiTheme="minorHAnsi" w:hAnsiTheme="minorHAnsi" w:cstheme="minorHAnsi"/>
                <w:sz w:val="16"/>
                <w:szCs w:val="16"/>
              </w:rPr>
              <w:t>In-</w:t>
            </w:r>
            <w:proofErr w:type="gramStart"/>
            <w:r w:rsidRPr="00913813">
              <w:rPr>
                <w:rFonts w:asciiTheme="minorHAnsi" w:hAnsiTheme="minorHAnsi" w:cstheme="minorHAnsi"/>
                <w:sz w:val="16"/>
                <w:szCs w:val="16"/>
              </w:rPr>
              <w:t>principle</w:t>
            </w:r>
            <w:proofErr w:type="gramEnd"/>
            <w:r w:rsidRPr="00913813">
              <w:rPr>
                <w:rFonts w:asciiTheme="minorHAnsi" w:hAnsiTheme="minorHAnsi" w:cstheme="minorHAnsi"/>
                <w:sz w:val="16"/>
                <w:szCs w:val="16"/>
              </w:rPr>
              <w:t xml:space="preserve"> agreement reached in discussions with IDI in March 2023, but further agreement still to be confirmed.</w:t>
            </w:r>
          </w:p>
          <w:p w14:paraId="3A4D5CAA" w14:textId="77777777" w:rsidR="00543F0A" w:rsidRPr="00913813" w:rsidRDefault="00543F0A" w:rsidP="0084525B">
            <w:pPr>
              <w:rPr>
                <w:rFonts w:asciiTheme="minorHAnsi" w:hAnsiTheme="minorHAnsi" w:cstheme="minorHAnsi"/>
                <w:sz w:val="16"/>
                <w:szCs w:val="16"/>
              </w:rPr>
            </w:pPr>
          </w:p>
          <w:p w14:paraId="2216C21F" w14:textId="70EDEFC6" w:rsidR="00543F0A" w:rsidRPr="00913813" w:rsidRDefault="00543F0A" w:rsidP="0084525B">
            <w:pPr>
              <w:rPr>
                <w:rFonts w:asciiTheme="minorHAnsi" w:hAnsiTheme="minorHAnsi" w:cstheme="minorHAnsi"/>
                <w:sz w:val="16"/>
                <w:szCs w:val="16"/>
              </w:rPr>
            </w:pPr>
            <w:r w:rsidRPr="00913813">
              <w:rPr>
                <w:rFonts w:asciiTheme="minorHAnsi" w:hAnsiTheme="minorHAnsi" w:cstheme="minorHAnsi"/>
                <w:sz w:val="16"/>
                <w:szCs w:val="16"/>
              </w:rPr>
              <w:t>Did participate in detailed PESA debriefing discussion during IDI Board meeting in March 2023</w:t>
            </w:r>
            <w:r w:rsidR="009E01DD" w:rsidRPr="00913813">
              <w:rPr>
                <w:rFonts w:asciiTheme="minorHAnsi" w:hAnsiTheme="minorHAnsi" w:cstheme="minorHAnsi"/>
                <w:sz w:val="16"/>
                <w:szCs w:val="16"/>
              </w:rPr>
              <w:t xml:space="preserve"> in South-Africa.</w:t>
            </w:r>
            <w:r w:rsidRPr="00913813">
              <w:rPr>
                <w:rFonts w:asciiTheme="minorHAnsi" w:hAnsiTheme="minorHAnsi" w:cstheme="minorHAnsi"/>
                <w:sz w:val="16"/>
                <w:szCs w:val="16"/>
              </w:rPr>
              <w:t xml:space="preserve"> </w:t>
            </w:r>
          </w:p>
        </w:tc>
      </w:tr>
      <w:tr w:rsidR="00C91242" w14:paraId="38D77579" w14:textId="77777777" w:rsidTr="00ED3FAB">
        <w:trPr>
          <w:trHeight w:val="698"/>
        </w:trPr>
        <w:tc>
          <w:tcPr>
            <w:tcW w:w="1844" w:type="dxa"/>
            <w:vMerge/>
            <w:vAlign w:val="center"/>
          </w:tcPr>
          <w:p w14:paraId="4FD1EE5C" w14:textId="77777777" w:rsidR="00C91242" w:rsidRPr="00913813" w:rsidRDefault="00C91242" w:rsidP="0084525B">
            <w:pPr>
              <w:rPr>
                <w:rFonts w:cstheme="minorHAnsi"/>
                <w:color w:val="222222"/>
                <w:sz w:val="16"/>
                <w:szCs w:val="16"/>
              </w:rPr>
            </w:pPr>
          </w:p>
        </w:tc>
        <w:tc>
          <w:tcPr>
            <w:tcW w:w="2732" w:type="dxa"/>
            <w:vMerge/>
            <w:vAlign w:val="center"/>
          </w:tcPr>
          <w:p w14:paraId="43B21537" w14:textId="77777777" w:rsidR="00C91242" w:rsidRPr="00913813" w:rsidRDefault="00C91242" w:rsidP="0084525B">
            <w:pPr>
              <w:rPr>
                <w:rFonts w:cstheme="minorHAnsi"/>
                <w:color w:val="222222"/>
                <w:sz w:val="16"/>
                <w:szCs w:val="16"/>
              </w:rPr>
            </w:pPr>
          </w:p>
        </w:tc>
        <w:tc>
          <w:tcPr>
            <w:tcW w:w="2835" w:type="dxa"/>
            <w:shd w:val="clear" w:color="auto" w:fill="FFFFFF" w:themeFill="background1"/>
            <w:vAlign w:val="center"/>
          </w:tcPr>
          <w:p w14:paraId="21E4B7FF" w14:textId="1088D693" w:rsidR="00C91242" w:rsidRPr="00913813" w:rsidRDefault="00C91242" w:rsidP="007870E8">
            <w:pPr>
              <w:spacing w:before="120" w:after="120" w:line="240" w:lineRule="atLeast"/>
              <w:rPr>
                <w:rFonts w:asciiTheme="minorHAnsi" w:hAnsiTheme="minorHAnsi" w:cstheme="minorHAnsi"/>
                <w:iCs/>
                <w:sz w:val="16"/>
                <w:szCs w:val="16"/>
                <w:lang w:val="en-ZA"/>
              </w:rPr>
            </w:pPr>
            <w:r w:rsidRPr="00913813">
              <w:rPr>
                <w:rFonts w:asciiTheme="minorHAnsi" w:hAnsiTheme="minorHAnsi" w:cstheme="minorHAnsi"/>
                <w:iCs/>
                <w:sz w:val="16"/>
                <w:szCs w:val="16"/>
                <w:lang w:val="en-ZA"/>
              </w:rPr>
              <w:t>Where appropriate, partnering with the IDI on its TOGETHER (HR) program</w:t>
            </w:r>
            <w:r w:rsidR="00AB5A61" w:rsidRPr="00913813">
              <w:rPr>
                <w:rFonts w:asciiTheme="minorHAnsi" w:hAnsiTheme="minorHAnsi" w:cstheme="minorHAnsi"/>
                <w:iCs/>
                <w:sz w:val="16"/>
                <w:szCs w:val="16"/>
                <w:lang w:val="en-ZA"/>
              </w:rPr>
              <w:t xml:space="preserve"> (specific deliverables and timelines to be confirmed</w:t>
            </w:r>
            <w:r w:rsidR="00BE31DB" w:rsidRPr="00913813">
              <w:rPr>
                <w:rFonts w:asciiTheme="minorHAnsi" w:hAnsiTheme="minorHAnsi" w:cstheme="minorHAnsi"/>
                <w:iCs/>
                <w:sz w:val="16"/>
                <w:szCs w:val="16"/>
                <w:lang w:val="en-ZA"/>
              </w:rPr>
              <w:t>, beyond initial in-</w:t>
            </w:r>
            <w:proofErr w:type="gramStart"/>
            <w:r w:rsidR="00BE31DB" w:rsidRPr="00913813">
              <w:rPr>
                <w:rFonts w:asciiTheme="minorHAnsi" w:hAnsiTheme="minorHAnsi" w:cstheme="minorHAnsi"/>
                <w:iCs/>
                <w:sz w:val="16"/>
                <w:szCs w:val="16"/>
                <w:lang w:val="en-ZA"/>
              </w:rPr>
              <w:t>principle</w:t>
            </w:r>
            <w:proofErr w:type="gramEnd"/>
            <w:r w:rsidR="00BE31DB" w:rsidRPr="00913813">
              <w:rPr>
                <w:rFonts w:asciiTheme="minorHAnsi" w:hAnsiTheme="minorHAnsi" w:cstheme="minorHAnsi"/>
                <w:iCs/>
                <w:sz w:val="16"/>
                <w:szCs w:val="16"/>
                <w:lang w:val="en-ZA"/>
              </w:rPr>
              <w:t xml:space="preserve"> contact</w:t>
            </w:r>
            <w:r w:rsidR="00AB5A61" w:rsidRPr="00913813">
              <w:rPr>
                <w:rFonts w:asciiTheme="minorHAnsi" w:hAnsiTheme="minorHAnsi" w:cstheme="minorHAnsi"/>
                <w:iCs/>
                <w:sz w:val="16"/>
                <w:szCs w:val="16"/>
                <w:lang w:val="en-ZA"/>
              </w:rPr>
              <w:t>)</w:t>
            </w:r>
            <w:r w:rsidR="003537B7" w:rsidRPr="00913813">
              <w:rPr>
                <w:rFonts w:asciiTheme="minorHAnsi" w:hAnsiTheme="minorHAnsi" w:cstheme="minorHAnsi"/>
                <w:iCs/>
                <w:sz w:val="16"/>
                <w:szCs w:val="16"/>
                <w:lang w:val="en-ZA"/>
              </w:rPr>
              <w:t>.</w:t>
            </w:r>
          </w:p>
        </w:tc>
        <w:tc>
          <w:tcPr>
            <w:tcW w:w="4252" w:type="dxa"/>
            <w:vAlign w:val="center"/>
          </w:tcPr>
          <w:p w14:paraId="3CD9B028" w14:textId="3C26653D" w:rsidR="00C91242" w:rsidRPr="00913813" w:rsidRDefault="003A70AF" w:rsidP="0084525B">
            <w:pPr>
              <w:rPr>
                <w:rFonts w:asciiTheme="minorHAnsi" w:hAnsiTheme="minorHAnsi" w:cstheme="minorHAnsi"/>
                <w:color w:val="222222"/>
                <w:sz w:val="16"/>
                <w:szCs w:val="16"/>
              </w:rPr>
            </w:pPr>
            <w:r w:rsidRPr="00913813">
              <w:rPr>
                <w:rFonts w:asciiTheme="minorHAnsi" w:hAnsiTheme="minorHAnsi" w:cstheme="minorHAnsi"/>
                <w:color w:val="222222"/>
                <w:sz w:val="16"/>
                <w:szCs w:val="16"/>
              </w:rPr>
              <w:t>4</w:t>
            </w:r>
            <w:r w:rsidR="00111C85" w:rsidRPr="00913813">
              <w:rPr>
                <w:rFonts w:asciiTheme="minorHAnsi" w:hAnsiTheme="minorHAnsi" w:cstheme="minorHAnsi"/>
                <w:color w:val="222222"/>
                <w:sz w:val="16"/>
                <w:szCs w:val="16"/>
              </w:rPr>
              <w:t>.4</w:t>
            </w:r>
            <w:r w:rsidR="00F669DE" w:rsidRPr="00913813">
              <w:rPr>
                <w:rFonts w:asciiTheme="minorHAnsi" w:hAnsiTheme="minorHAnsi" w:cstheme="minorHAnsi"/>
                <w:color w:val="222222"/>
                <w:sz w:val="16"/>
                <w:szCs w:val="16"/>
              </w:rPr>
              <w:t>.1 Initiate contact with IDI to agree on nature and timing of support (2023), and</w:t>
            </w:r>
          </w:p>
          <w:p w14:paraId="09ED410D" w14:textId="77777777" w:rsidR="00F669DE" w:rsidRPr="00913813" w:rsidRDefault="00F669DE" w:rsidP="0084525B">
            <w:pPr>
              <w:rPr>
                <w:rFonts w:asciiTheme="minorHAnsi" w:hAnsiTheme="minorHAnsi" w:cstheme="minorHAnsi"/>
                <w:color w:val="222222"/>
                <w:sz w:val="16"/>
                <w:szCs w:val="16"/>
              </w:rPr>
            </w:pPr>
          </w:p>
          <w:p w14:paraId="5E738362" w14:textId="215DBCBB" w:rsidR="00F669DE" w:rsidRPr="00913813" w:rsidRDefault="003A70AF" w:rsidP="0084525B">
            <w:pPr>
              <w:rPr>
                <w:rFonts w:asciiTheme="minorHAnsi" w:hAnsiTheme="minorHAnsi" w:cstheme="minorHAnsi"/>
                <w:color w:val="222222"/>
                <w:sz w:val="16"/>
                <w:szCs w:val="16"/>
              </w:rPr>
            </w:pPr>
            <w:r w:rsidRPr="00913813">
              <w:rPr>
                <w:rFonts w:asciiTheme="minorHAnsi" w:hAnsiTheme="minorHAnsi" w:cstheme="minorHAnsi"/>
                <w:color w:val="222222"/>
                <w:sz w:val="16"/>
                <w:szCs w:val="16"/>
              </w:rPr>
              <w:t>4</w:t>
            </w:r>
            <w:r w:rsidR="00F669DE" w:rsidRPr="00913813">
              <w:rPr>
                <w:rFonts w:asciiTheme="minorHAnsi" w:hAnsiTheme="minorHAnsi" w:cstheme="minorHAnsi"/>
                <w:color w:val="222222"/>
                <w:sz w:val="16"/>
                <w:szCs w:val="16"/>
              </w:rPr>
              <w:t xml:space="preserve">.4.2 </w:t>
            </w:r>
            <w:r w:rsidR="003C349F" w:rsidRPr="00913813">
              <w:rPr>
                <w:rFonts w:asciiTheme="minorHAnsi" w:hAnsiTheme="minorHAnsi" w:cstheme="minorHAnsi"/>
                <w:color w:val="222222"/>
                <w:sz w:val="16"/>
                <w:szCs w:val="16"/>
              </w:rPr>
              <w:t>Work with IDI to determine whether the support is best done during session or as a CoP that supports SAIs post TOGETHER interventions (see 3.1.3)</w:t>
            </w:r>
            <w:r w:rsidR="007870E8" w:rsidRPr="00913813">
              <w:rPr>
                <w:rFonts w:asciiTheme="minorHAnsi" w:hAnsiTheme="minorHAnsi" w:cstheme="minorHAnsi"/>
                <w:color w:val="222222"/>
                <w:sz w:val="16"/>
                <w:szCs w:val="16"/>
              </w:rPr>
              <w:t>.</w:t>
            </w:r>
          </w:p>
        </w:tc>
        <w:tc>
          <w:tcPr>
            <w:tcW w:w="3783" w:type="dxa"/>
            <w:shd w:val="clear" w:color="auto" w:fill="FFC000"/>
            <w:vAlign w:val="center"/>
          </w:tcPr>
          <w:p w14:paraId="108426F6" w14:textId="74421F5B" w:rsidR="00C91242" w:rsidRPr="00913813" w:rsidRDefault="005D2DA9" w:rsidP="0084525B">
            <w:pPr>
              <w:rPr>
                <w:rFonts w:asciiTheme="minorHAnsi" w:hAnsiTheme="minorHAnsi" w:cstheme="minorHAnsi"/>
                <w:sz w:val="16"/>
                <w:szCs w:val="16"/>
                <w:u w:val="single"/>
              </w:rPr>
            </w:pPr>
            <w:r w:rsidRPr="00913813">
              <w:rPr>
                <w:rFonts w:asciiTheme="minorHAnsi" w:hAnsiTheme="minorHAnsi" w:cstheme="minorHAnsi"/>
                <w:sz w:val="16"/>
                <w:szCs w:val="16"/>
              </w:rPr>
              <w:t>In-</w:t>
            </w:r>
            <w:proofErr w:type="gramStart"/>
            <w:r w:rsidRPr="00913813">
              <w:rPr>
                <w:rFonts w:asciiTheme="minorHAnsi" w:hAnsiTheme="minorHAnsi" w:cstheme="minorHAnsi"/>
                <w:sz w:val="16"/>
                <w:szCs w:val="16"/>
              </w:rPr>
              <w:t>principle</w:t>
            </w:r>
            <w:proofErr w:type="gramEnd"/>
            <w:r w:rsidRPr="00913813">
              <w:rPr>
                <w:rFonts w:asciiTheme="minorHAnsi" w:hAnsiTheme="minorHAnsi" w:cstheme="minorHAnsi"/>
                <w:sz w:val="16"/>
                <w:szCs w:val="16"/>
              </w:rPr>
              <w:t xml:space="preserve"> agreement reached in discussions with IDI in March 2023, but further agreement still to be confirmed.</w:t>
            </w:r>
          </w:p>
        </w:tc>
      </w:tr>
    </w:tbl>
    <w:p w14:paraId="087F1050" w14:textId="77777777" w:rsidR="00937A7A" w:rsidRDefault="00937A7A">
      <w:r>
        <w:br w:type="page"/>
      </w:r>
    </w:p>
    <w:tbl>
      <w:tblPr>
        <w:tblStyle w:val="TableGrid"/>
        <w:tblW w:w="15446" w:type="dxa"/>
        <w:tblInd w:w="-289" w:type="dxa"/>
        <w:tblLook w:val="04A0" w:firstRow="1" w:lastRow="0" w:firstColumn="1" w:lastColumn="0" w:noHBand="0" w:noVBand="1"/>
      </w:tblPr>
      <w:tblGrid>
        <w:gridCol w:w="1844"/>
        <w:gridCol w:w="2732"/>
        <w:gridCol w:w="2835"/>
        <w:gridCol w:w="4252"/>
        <w:gridCol w:w="3783"/>
      </w:tblGrid>
      <w:tr w:rsidR="00C91242" w14:paraId="6D08BB15" w14:textId="77777777" w:rsidTr="005D2DA9">
        <w:trPr>
          <w:trHeight w:val="1279"/>
        </w:trPr>
        <w:tc>
          <w:tcPr>
            <w:tcW w:w="1844" w:type="dxa"/>
            <w:vMerge w:val="restart"/>
            <w:vAlign w:val="center"/>
          </w:tcPr>
          <w:p w14:paraId="4A03E1B8" w14:textId="6947F496" w:rsidR="00C91242" w:rsidRPr="00913813" w:rsidRDefault="00C91242" w:rsidP="0084525B">
            <w:pPr>
              <w:rPr>
                <w:rFonts w:cstheme="minorHAnsi"/>
                <w:color w:val="222222"/>
                <w:sz w:val="16"/>
                <w:szCs w:val="16"/>
              </w:rPr>
            </w:pPr>
          </w:p>
        </w:tc>
        <w:tc>
          <w:tcPr>
            <w:tcW w:w="2732" w:type="dxa"/>
            <w:vMerge w:val="restart"/>
            <w:vAlign w:val="center"/>
          </w:tcPr>
          <w:p w14:paraId="11F721AB" w14:textId="77777777" w:rsidR="00C91242" w:rsidRPr="00913813" w:rsidRDefault="00C91242" w:rsidP="0084525B">
            <w:pPr>
              <w:rPr>
                <w:rFonts w:cstheme="minorHAnsi"/>
                <w:color w:val="222222"/>
                <w:sz w:val="16"/>
                <w:szCs w:val="16"/>
              </w:rPr>
            </w:pPr>
          </w:p>
        </w:tc>
        <w:tc>
          <w:tcPr>
            <w:tcW w:w="2835" w:type="dxa"/>
            <w:shd w:val="clear" w:color="auto" w:fill="FFFFFF" w:themeFill="background1"/>
            <w:vAlign w:val="center"/>
          </w:tcPr>
          <w:p w14:paraId="50D35E15" w14:textId="4B7B7EBB" w:rsidR="00C91242" w:rsidRPr="00913813" w:rsidRDefault="00C91242" w:rsidP="0084525B">
            <w:pPr>
              <w:rPr>
                <w:rFonts w:cstheme="minorHAnsi"/>
                <w:iCs/>
                <w:sz w:val="16"/>
                <w:szCs w:val="16"/>
              </w:rPr>
            </w:pPr>
            <w:r w:rsidRPr="00913813">
              <w:rPr>
                <w:rFonts w:asciiTheme="minorHAnsi" w:hAnsiTheme="minorHAnsi" w:cstheme="minorHAnsi"/>
                <w:iCs/>
                <w:sz w:val="16"/>
                <w:szCs w:val="16"/>
                <w:lang w:val="en-ZA"/>
              </w:rPr>
              <w:t>Participating in the revision of the SAI PMF, specifically focused on the domain dealing with human resource management and development practices</w:t>
            </w:r>
            <w:r w:rsidR="00CC41DA" w:rsidRPr="00913813">
              <w:rPr>
                <w:rFonts w:asciiTheme="minorHAnsi" w:hAnsiTheme="minorHAnsi" w:cstheme="minorHAnsi"/>
                <w:iCs/>
                <w:sz w:val="16"/>
                <w:szCs w:val="16"/>
                <w:lang w:val="en-ZA"/>
              </w:rPr>
              <w:t xml:space="preserve"> (in line with project specifications to be provided by the CBC and IDI)</w:t>
            </w:r>
            <w:r w:rsidRPr="00913813">
              <w:rPr>
                <w:rFonts w:asciiTheme="minorHAnsi" w:hAnsiTheme="minorHAnsi" w:cstheme="minorHAnsi"/>
                <w:iCs/>
                <w:sz w:val="16"/>
                <w:szCs w:val="16"/>
                <w:lang w:val="en-ZA"/>
              </w:rPr>
              <w:t>,</w:t>
            </w:r>
          </w:p>
        </w:tc>
        <w:tc>
          <w:tcPr>
            <w:tcW w:w="4252" w:type="dxa"/>
            <w:vAlign w:val="center"/>
          </w:tcPr>
          <w:p w14:paraId="76AAF3A4" w14:textId="2E9460E3" w:rsidR="00C91242" w:rsidRPr="00913813" w:rsidRDefault="003A70AF" w:rsidP="0084525B">
            <w:pPr>
              <w:rPr>
                <w:rFonts w:asciiTheme="minorHAnsi" w:hAnsiTheme="minorHAnsi" w:cstheme="minorHAnsi"/>
                <w:color w:val="222222"/>
                <w:sz w:val="16"/>
                <w:szCs w:val="16"/>
              </w:rPr>
            </w:pPr>
            <w:r w:rsidRPr="00913813">
              <w:rPr>
                <w:rFonts w:asciiTheme="minorHAnsi" w:hAnsiTheme="minorHAnsi" w:cstheme="minorHAnsi"/>
                <w:color w:val="222222"/>
                <w:sz w:val="16"/>
                <w:szCs w:val="16"/>
              </w:rPr>
              <w:t>4</w:t>
            </w:r>
            <w:r w:rsidR="00111C85" w:rsidRPr="00913813">
              <w:rPr>
                <w:rFonts w:asciiTheme="minorHAnsi" w:hAnsiTheme="minorHAnsi" w:cstheme="minorHAnsi"/>
                <w:color w:val="222222"/>
                <w:sz w:val="16"/>
                <w:szCs w:val="16"/>
              </w:rPr>
              <w:t xml:space="preserve">.5.1 </w:t>
            </w:r>
            <w:r w:rsidR="00BF18B6" w:rsidRPr="00913813">
              <w:rPr>
                <w:rFonts w:asciiTheme="minorHAnsi" w:hAnsiTheme="minorHAnsi" w:cstheme="minorHAnsi"/>
                <w:color w:val="222222"/>
                <w:sz w:val="16"/>
                <w:szCs w:val="16"/>
              </w:rPr>
              <w:t>Sub-p</w:t>
            </w:r>
            <w:r w:rsidR="00111C85" w:rsidRPr="00913813">
              <w:rPr>
                <w:rFonts w:asciiTheme="minorHAnsi" w:hAnsiTheme="minorHAnsi" w:cstheme="minorHAnsi"/>
                <w:color w:val="222222"/>
                <w:sz w:val="16"/>
                <w:szCs w:val="16"/>
              </w:rPr>
              <w:t>roject outline for discussion with CBC and IDI (2023)</w:t>
            </w:r>
            <w:r w:rsidR="00BF18B6" w:rsidRPr="00913813">
              <w:rPr>
                <w:rFonts w:asciiTheme="minorHAnsi" w:hAnsiTheme="minorHAnsi" w:cstheme="minorHAnsi"/>
                <w:color w:val="222222"/>
                <w:sz w:val="16"/>
                <w:szCs w:val="16"/>
              </w:rPr>
              <w:t xml:space="preserve">, </w:t>
            </w:r>
          </w:p>
          <w:p w14:paraId="3A629B0E" w14:textId="77777777" w:rsidR="00111C85" w:rsidRPr="00913813" w:rsidRDefault="00111C85" w:rsidP="0084525B">
            <w:pPr>
              <w:rPr>
                <w:rFonts w:asciiTheme="minorHAnsi" w:hAnsiTheme="minorHAnsi" w:cstheme="minorHAnsi"/>
                <w:color w:val="222222"/>
                <w:sz w:val="16"/>
                <w:szCs w:val="16"/>
              </w:rPr>
            </w:pPr>
          </w:p>
          <w:p w14:paraId="2012657A" w14:textId="2BC35B69" w:rsidR="00111C85" w:rsidRPr="00913813" w:rsidRDefault="003A70AF" w:rsidP="0084525B">
            <w:pPr>
              <w:rPr>
                <w:rFonts w:asciiTheme="minorHAnsi" w:hAnsiTheme="minorHAnsi" w:cstheme="minorHAnsi"/>
                <w:color w:val="222222"/>
                <w:sz w:val="16"/>
                <w:szCs w:val="16"/>
              </w:rPr>
            </w:pPr>
            <w:r w:rsidRPr="00913813">
              <w:rPr>
                <w:rFonts w:asciiTheme="minorHAnsi" w:hAnsiTheme="minorHAnsi" w:cstheme="minorHAnsi"/>
                <w:color w:val="222222"/>
                <w:sz w:val="16"/>
                <w:szCs w:val="16"/>
              </w:rPr>
              <w:t>4</w:t>
            </w:r>
            <w:r w:rsidR="00111C85" w:rsidRPr="00913813">
              <w:rPr>
                <w:rFonts w:asciiTheme="minorHAnsi" w:hAnsiTheme="minorHAnsi" w:cstheme="minorHAnsi"/>
                <w:color w:val="222222"/>
                <w:sz w:val="16"/>
                <w:szCs w:val="16"/>
              </w:rPr>
              <w:t xml:space="preserve">.5.2 </w:t>
            </w:r>
            <w:r w:rsidR="00BF18B6" w:rsidRPr="00913813">
              <w:rPr>
                <w:rFonts w:asciiTheme="minorHAnsi" w:hAnsiTheme="minorHAnsi" w:cstheme="minorHAnsi"/>
                <w:color w:val="222222"/>
                <w:sz w:val="16"/>
                <w:szCs w:val="16"/>
              </w:rPr>
              <w:t>Sub-p</w:t>
            </w:r>
            <w:r w:rsidR="00111C85" w:rsidRPr="00913813">
              <w:rPr>
                <w:rFonts w:asciiTheme="minorHAnsi" w:hAnsiTheme="minorHAnsi" w:cstheme="minorHAnsi"/>
                <w:color w:val="222222"/>
                <w:sz w:val="16"/>
                <w:szCs w:val="16"/>
              </w:rPr>
              <w:t>roject inputs (202</w:t>
            </w:r>
            <w:r w:rsidR="00BF18B6" w:rsidRPr="00913813">
              <w:rPr>
                <w:rFonts w:asciiTheme="minorHAnsi" w:hAnsiTheme="minorHAnsi" w:cstheme="minorHAnsi"/>
                <w:color w:val="222222"/>
                <w:sz w:val="16"/>
                <w:szCs w:val="16"/>
              </w:rPr>
              <w:t>4), and</w:t>
            </w:r>
          </w:p>
          <w:p w14:paraId="2C634346" w14:textId="77777777" w:rsidR="00BF18B6" w:rsidRPr="00913813" w:rsidRDefault="00BF18B6" w:rsidP="0084525B">
            <w:pPr>
              <w:rPr>
                <w:rFonts w:asciiTheme="minorHAnsi" w:hAnsiTheme="minorHAnsi" w:cstheme="minorHAnsi"/>
                <w:color w:val="222222"/>
                <w:sz w:val="16"/>
                <w:szCs w:val="16"/>
              </w:rPr>
            </w:pPr>
          </w:p>
          <w:p w14:paraId="57CD37F9" w14:textId="2919E4B6" w:rsidR="00BF18B6" w:rsidRPr="00913813" w:rsidRDefault="003A70AF" w:rsidP="0084525B">
            <w:pPr>
              <w:rPr>
                <w:rFonts w:asciiTheme="minorHAnsi" w:hAnsiTheme="minorHAnsi" w:cstheme="minorHAnsi"/>
                <w:color w:val="222222"/>
                <w:sz w:val="16"/>
                <w:szCs w:val="16"/>
              </w:rPr>
            </w:pPr>
            <w:r w:rsidRPr="00913813">
              <w:rPr>
                <w:rFonts w:asciiTheme="minorHAnsi" w:hAnsiTheme="minorHAnsi" w:cstheme="minorHAnsi"/>
                <w:color w:val="222222"/>
                <w:sz w:val="16"/>
                <w:szCs w:val="16"/>
              </w:rPr>
              <w:t>4</w:t>
            </w:r>
            <w:r w:rsidR="00BF18B6" w:rsidRPr="00913813">
              <w:rPr>
                <w:rFonts w:asciiTheme="minorHAnsi" w:hAnsiTheme="minorHAnsi" w:cstheme="minorHAnsi"/>
                <w:color w:val="222222"/>
                <w:sz w:val="16"/>
                <w:szCs w:val="16"/>
              </w:rPr>
              <w:t>.5.3 Any other deliverables requested by CBC and IDI, as overall project owners</w:t>
            </w:r>
            <w:r w:rsidR="00C30FBA" w:rsidRPr="00913813">
              <w:rPr>
                <w:rFonts w:asciiTheme="minorHAnsi" w:hAnsiTheme="minorHAnsi" w:cstheme="minorHAnsi"/>
                <w:color w:val="222222"/>
                <w:sz w:val="16"/>
                <w:szCs w:val="16"/>
              </w:rPr>
              <w:t>.</w:t>
            </w:r>
          </w:p>
        </w:tc>
        <w:tc>
          <w:tcPr>
            <w:tcW w:w="3783" w:type="dxa"/>
            <w:shd w:val="clear" w:color="auto" w:fill="00B0F0"/>
            <w:vAlign w:val="center"/>
          </w:tcPr>
          <w:p w14:paraId="76E93E52" w14:textId="15A2F06A" w:rsidR="00C91242" w:rsidRPr="00913813" w:rsidRDefault="005D2DA9" w:rsidP="0084525B">
            <w:pPr>
              <w:rPr>
                <w:rFonts w:asciiTheme="minorHAnsi" w:hAnsiTheme="minorHAnsi" w:cstheme="minorHAnsi"/>
                <w:sz w:val="16"/>
                <w:szCs w:val="16"/>
              </w:rPr>
            </w:pPr>
            <w:r w:rsidRPr="00913813">
              <w:rPr>
                <w:rFonts w:asciiTheme="minorHAnsi" w:hAnsiTheme="minorHAnsi" w:cstheme="minorHAnsi"/>
                <w:sz w:val="16"/>
                <w:szCs w:val="16"/>
              </w:rPr>
              <w:t>Awaiting CBC and IDI feedback on project parameters.</w:t>
            </w:r>
          </w:p>
        </w:tc>
      </w:tr>
      <w:tr w:rsidR="00C91242" w14:paraId="4C497E62" w14:textId="77777777" w:rsidTr="00315C93">
        <w:trPr>
          <w:trHeight w:val="699"/>
        </w:trPr>
        <w:tc>
          <w:tcPr>
            <w:tcW w:w="1844" w:type="dxa"/>
            <w:vMerge/>
            <w:vAlign w:val="center"/>
          </w:tcPr>
          <w:p w14:paraId="4E9D79FC" w14:textId="77777777" w:rsidR="00C91242" w:rsidRPr="00913813" w:rsidRDefault="00C91242" w:rsidP="0084525B">
            <w:pPr>
              <w:rPr>
                <w:rFonts w:cstheme="minorHAnsi"/>
                <w:color w:val="222222"/>
                <w:sz w:val="16"/>
                <w:szCs w:val="16"/>
              </w:rPr>
            </w:pPr>
          </w:p>
        </w:tc>
        <w:tc>
          <w:tcPr>
            <w:tcW w:w="2732" w:type="dxa"/>
            <w:vMerge/>
            <w:vAlign w:val="center"/>
          </w:tcPr>
          <w:p w14:paraId="0A5D9BE8" w14:textId="77777777" w:rsidR="00C91242" w:rsidRPr="00913813" w:rsidRDefault="00C91242" w:rsidP="0084525B">
            <w:pPr>
              <w:rPr>
                <w:rFonts w:cstheme="minorHAnsi"/>
                <w:color w:val="222222"/>
                <w:sz w:val="16"/>
                <w:szCs w:val="16"/>
              </w:rPr>
            </w:pPr>
          </w:p>
        </w:tc>
        <w:tc>
          <w:tcPr>
            <w:tcW w:w="2835" w:type="dxa"/>
            <w:shd w:val="clear" w:color="auto" w:fill="FFFFFF" w:themeFill="background1"/>
            <w:vAlign w:val="center"/>
          </w:tcPr>
          <w:p w14:paraId="4432C136" w14:textId="163EDFC4" w:rsidR="00C91242" w:rsidRPr="00913813" w:rsidRDefault="00C91242" w:rsidP="0084525B">
            <w:pPr>
              <w:rPr>
                <w:rFonts w:cstheme="minorHAnsi"/>
                <w:iCs/>
                <w:sz w:val="16"/>
                <w:szCs w:val="16"/>
              </w:rPr>
            </w:pPr>
            <w:r w:rsidRPr="00913813">
              <w:rPr>
                <w:rFonts w:asciiTheme="minorHAnsi" w:hAnsiTheme="minorHAnsi" w:cstheme="minorHAnsi"/>
                <w:iCs/>
                <w:sz w:val="16"/>
                <w:szCs w:val="16"/>
                <w:lang w:val="en-ZA"/>
              </w:rPr>
              <w:t>Supporting the IDI in the development of its “Centre for SAI Professionals</w:t>
            </w:r>
            <w:r w:rsidR="00E322F7" w:rsidRPr="00913813">
              <w:rPr>
                <w:rFonts w:asciiTheme="minorHAnsi" w:hAnsiTheme="minorHAnsi" w:cstheme="minorHAnsi"/>
                <w:iCs/>
                <w:sz w:val="16"/>
                <w:szCs w:val="16"/>
                <w:lang w:val="en-ZA"/>
              </w:rPr>
              <w:t>”</w:t>
            </w:r>
            <w:r w:rsidRPr="00913813">
              <w:rPr>
                <w:rFonts w:asciiTheme="minorHAnsi" w:hAnsiTheme="minorHAnsi" w:cstheme="minorHAnsi"/>
                <w:iCs/>
                <w:sz w:val="16"/>
                <w:szCs w:val="16"/>
                <w:lang w:val="en-ZA"/>
              </w:rPr>
              <w:t xml:space="preserve"> (refer to IDI Strategic plan 2023 to 2025)</w:t>
            </w:r>
            <w:r w:rsidR="00E322F7" w:rsidRPr="00913813">
              <w:rPr>
                <w:rFonts w:asciiTheme="minorHAnsi" w:hAnsiTheme="minorHAnsi" w:cstheme="minorHAnsi"/>
                <w:iCs/>
                <w:sz w:val="16"/>
                <w:szCs w:val="16"/>
                <w:lang w:val="en-ZA"/>
              </w:rPr>
              <w:t xml:space="preserve"> (initial discussions and inputs during development of IDI</w:t>
            </w:r>
            <w:r w:rsidR="0016781A" w:rsidRPr="00913813">
              <w:rPr>
                <w:rFonts w:asciiTheme="minorHAnsi" w:hAnsiTheme="minorHAnsi" w:cstheme="minorHAnsi"/>
                <w:iCs/>
                <w:sz w:val="16"/>
                <w:szCs w:val="16"/>
                <w:lang w:val="en-ZA"/>
              </w:rPr>
              <w:t xml:space="preserve"> strategy in 2023</w:t>
            </w:r>
            <w:r w:rsidR="00E322F7" w:rsidRPr="00913813">
              <w:rPr>
                <w:rFonts w:asciiTheme="minorHAnsi" w:hAnsiTheme="minorHAnsi" w:cstheme="minorHAnsi"/>
                <w:iCs/>
                <w:sz w:val="16"/>
                <w:szCs w:val="16"/>
                <w:lang w:val="en-ZA"/>
              </w:rPr>
              <w:t>, formal support / partnering once in establishment phase and beyond)</w:t>
            </w:r>
            <w:r w:rsidR="00C474F0" w:rsidRPr="00913813">
              <w:rPr>
                <w:rFonts w:asciiTheme="minorHAnsi" w:hAnsiTheme="minorHAnsi" w:cstheme="minorHAnsi"/>
                <w:iCs/>
                <w:sz w:val="16"/>
                <w:szCs w:val="16"/>
                <w:lang w:val="en-ZA"/>
              </w:rPr>
              <w:t>.</w:t>
            </w:r>
          </w:p>
        </w:tc>
        <w:tc>
          <w:tcPr>
            <w:tcW w:w="4252" w:type="dxa"/>
            <w:vAlign w:val="center"/>
          </w:tcPr>
          <w:p w14:paraId="570E0F6C" w14:textId="23989826" w:rsidR="00C91242" w:rsidRPr="00913813" w:rsidRDefault="003A70AF" w:rsidP="0084525B">
            <w:pPr>
              <w:rPr>
                <w:rFonts w:asciiTheme="minorHAnsi" w:hAnsiTheme="minorHAnsi" w:cstheme="minorHAnsi"/>
                <w:color w:val="222222"/>
                <w:sz w:val="16"/>
                <w:szCs w:val="16"/>
              </w:rPr>
            </w:pPr>
            <w:r w:rsidRPr="00913813">
              <w:rPr>
                <w:rFonts w:asciiTheme="minorHAnsi" w:hAnsiTheme="minorHAnsi" w:cstheme="minorHAnsi"/>
                <w:color w:val="222222"/>
                <w:sz w:val="16"/>
                <w:szCs w:val="16"/>
              </w:rPr>
              <w:t>4</w:t>
            </w:r>
            <w:r w:rsidR="00111C85" w:rsidRPr="00913813">
              <w:rPr>
                <w:rFonts w:asciiTheme="minorHAnsi" w:hAnsiTheme="minorHAnsi" w:cstheme="minorHAnsi"/>
                <w:color w:val="222222"/>
                <w:sz w:val="16"/>
                <w:szCs w:val="16"/>
              </w:rPr>
              <w:t>.6</w:t>
            </w:r>
            <w:r w:rsidR="0018409A" w:rsidRPr="00913813">
              <w:rPr>
                <w:rFonts w:asciiTheme="minorHAnsi" w:hAnsiTheme="minorHAnsi" w:cstheme="minorHAnsi"/>
                <w:color w:val="222222"/>
                <w:sz w:val="16"/>
                <w:szCs w:val="16"/>
              </w:rPr>
              <w:t>.1 Initial inputs during the development of the IDI strategic plan (early 2023)</w:t>
            </w:r>
            <w:r w:rsidR="00871539" w:rsidRPr="00913813">
              <w:rPr>
                <w:rFonts w:asciiTheme="minorHAnsi" w:hAnsiTheme="minorHAnsi" w:cstheme="minorHAnsi"/>
                <w:color w:val="222222"/>
                <w:sz w:val="16"/>
                <w:szCs w:val="16"/>
              </w:rPr>
              <w:t xml:space="preserve"> including participation in proposed 2023 IDI Profession</w:t>
            </w:r>
            <w:r w:rsidR="00454EED" w:rsidRPr="00913813">
              <w:rPr>
                <w:rFonts w:asciiTheme="minorHAnsi" w:hAnsiTheme="minorHAnsi" w:cstheme="minorHAnsi"/>
                <w:color w:val="222222"/>
                <w:sz w:val="16"/>
                <w:szCs w:val="16"/>
              </w:rPr>
              <w:t>a</w:t>
            </w:r>
            <w:r w:rsidR="00871539" w:rsidRPr="00913813">
              <w:rPr>
                <w:rFonts w:asciiTheme="minorHAnsi" w:hAnsiTheme="minorHAnsi" w:cstheme="minorHAnsi"/>
                <w:color w:val="222222"/>
                <w:sz w:val="16"/>
                <w:szCs w:val="16"/>
              </w:rPr>
              <w:t xml:space="preserve">lisation Symposium </w:t>
            </w:r>
            <w:r w:rsidR="00177C5C" w:rsidRPr="00913813">
              <w:rPr>
                <w:rFonts w:asciiTheme="minorHAnsi" w:hAnsiTheme="minorHAnsi" w:cstheme="minorHAnsi"/>
                <w:color w:val="222222"/>
                <w:sz w:val="16"/>
                <w:szCs w:val="16"/>
              </w:rPr>
              <w:t>(and related processes)</w:t>
            </w:r>
            <w:r w:rsidR="0018409A" w:rsidRPr="00913813">
              <w:rPr>
                <w:rFonts w:asciiTheme="minorHAnsi" w:hAnsiTheme="minorHAnsi" w:cstheme="minorHAnsi"/>
                <w:color w:val="222222"/>
                <w:sz w:val="16"/>
                <w:szCs w:val="16"/>
              </w:rPr>
              <w:t>,</w:t>
            </w:r>
          </w:p>
          <w:p w14:paraId="2F50FF1C" w14:textId="77777777" w:rsidR="0018409A" w:rsidRPr="00913813" w:rsidRDefault="0018409A" w:rsidP="0084525B">
            <w:pPr>
              <w:rPr>
                <w:rFonts w:asciiTheme="minorHAnsi" w:hAnsiTheme="minorHAnsi" w:cstheme="minorHAnsi"/>
                <w:color w:val="222222"/>
                <w:sz w:val="16"/>
                <w:szCs w:val="16"/>
              </w:rPr>
            </w:pPr>
          </w:p>
          <w:p w14:paraId="38C4E208" w14:textId="1CB00700" w:rsidR="0018409A" w:rsidRPr="00913813" w:rsidRDefault="003A70AF" w:rsidP="0084525B">
            <w:pPr>
              <w:rPr>
                <w:rFonts w:asciiTheme="minorHAnsi" w:hAnsiTheme="minorHAnsi" w:cstheme="minorHAnsi"/>
                <w:color w:val="222222"/>
                <w:sz w:val="16"/>
                <w:szCs w:val="16"/>
              </w:rPr>
            </w:pPr>
            <w:r w:rsidRPr="00913813">
              <w:rPr>
                <w:rFonts w:asciiTheme="minorHAnsi" w:hAnsiTheme="minorHAnsi" w:cstheme="minorHAnsi"/>
                <w:color w:val="222222"/>
                <w:sz w:val="16"/>
                <w:szCs w:val="16"/>
              </w:rPr>
              <w:t>4</w:t>
            </w:r>
            <w:r w:rsidR="0018409A" w:rsidRPr="00913813">
              <w:rPr>
                <w:rFonts w:asciiTheme="minorHAnsi" w:hAnsiTheme="minorHAnsi" w:cstheme="minorHAnsi"/>
                <w:color w:val="222222"/>
                <w:sz w:val="16"/>
                <w:szCs w:val="16"/>
              </w:rPr>
              <w:t>.6.2</w:t>
            </w:r>
            <w:r w:rsidR="00254ADC" w:rsidRPr="00913813">
              <w:rPr>
                <w:rFonts w:asciiTheme="minorHAnsi" w:hAnsiTheme="minorHAnsi" w:cstheme="minorHAnsi"/>
                <w:color w:val="222222"/>
                <w:sz w:val="16"/>
                <w:szCs w:val="16"/>
              </w:rPr>
              <w:t xml:space="preserve"> Come to an agreement </w:t>
            </w:r>
            <w:r w:rsidR="00862832" w:rsidRPr="00913813">
              <w:rPr>
                <w:rFonts w:asciiTheme="minorHAnsi" w:hAnsiTheme="minorHAnsi" w:cstheme="minorHAnsi"/>
                <w:color w:val="222222"/>
                <w:sz w:val="16"/>
                <w:szCs w:val="16"/>
              </w:rPr>
              <w:t>with IDI on when and how TFIAP would provide i</w:t>
            </w:r>
            <w:r w:rsidR="0018409A" w:rsidRPr="00913813">
              <w:rPr>
                <w:rFonts w:asciiTheme="minorHAnsi" w:hAnsiTheme="minorHAnsi" w:cstheme="minorHAnsi"/>
                <w:color w:val="222222"/>
                <w:sz w:val="16"/>
                <w:szCs w:val="16"/>
              </w:rPr>
              <w:t>nputs during establishment / implementation phase (2024), and</w:t>
            </w:r>
          </w:p>
          <w:p w14:paraId="112A972C" w14:textId="77777777" w:rsidR="0018409A" w:rsidRPr="00913813" w:rsidRDefault="0018409A" w:rsidP="0084525B">
            <w:pPr>
              <w:rPr>
                <w:rFonts w:asciiTheme="minorHAnsi" w:hAnsiTheme="minorHAnsi" w:cstheme="minorHAnsi"/>
                <w:color w:val="222222"/>
                <w:sz w:val="16"/>
                <w:szCs w:val="16"/>
              </w:rPr>
            </w:pPr>
          </w:p>
          <w:p w14:paraId="6A2B1BB7" w14:textId="5F0234AF" w:rsidR="0018409A" w:rsidRPr="00913813" w:rsidRDefault="003A70AF" w:rsidP="0084525B">
            <w:pPr>
              <w:rPr>
                <w:rFonts w:asciiTheme="minorHAnsi" w:hAnsiTheme="minorHAnsi" w:cstheme="minorHAnsi"/>
                <w:color w:val="222222"/>
                <w:sz w:val="16"/>
                <w:szCs w:val="16"/>
              </w:rPr>
            </w:pPr>
            <w:r w:rsidRPr="00913813">
              <w:rPr>
                <w:rFonts w:asciiTheme="minorHAnsi" w:hAnsiTheme="minorHAnsi" w:cstheme="minorHAnsi"/>
                <w:color w:val="222222"/>
                <w:sz w:val="16"/>
                <w:szCs w:val="16"/>
              </w:rPr>
              <w:t>4</w:t>
            </w:r>
            <w:r w:rsidR="0018409A" w:rsidRPr="00913813">
              <w:rPr>
                <w:rFonts w:asciiTheme="minorHAnsi" w:hAnsiTheme="minorHAnsi" w:cstheme="minorHAnsi"/>
                <w:color w:val="222222"/>
                <w:sz w:val="16"/>
                <w:szCs w:val="16"/>
              </w:rPr>
              <w:t>.6</w:t>
            </w:r>
            <w:r w:rsidR="00554EDF" w:rsidRPr="00913813">
              <w:rPr>
                <w:rFonts w:asciiTheme="minorHAnsi" w:hAnsiTheme="minorHAnsi" w:cstheme="minorHAnsi"/>
                <w:color w:val="222222"/>
                <w:sz w:val="16"/>
                <w:szCs w:val="16"/>
              </w:rPr>
              <w:t>.3 A</w:t>
            </w:r>
            <w:r w:rsidR="00862832" w:rsidRPr="00913813">
              <w:rPr>
                <w:rFonts w:asciiTheme="minorHAnsi" w:hAnsiTheme="minorHAnsi" w:cstheme="minorHAnsi"/>
                <w:color w:val="222222"/>
                <w:sz w:val="16"/>
                <w:szCs w:val="16"/>
              </w:rPr>
              <w:t xml:space="preserve">ction </w:t>
            </w:r>
            <w:r w:rsidR="0092482B" w:rsidRPr="00913813">
              <w:rPr>
                <w:rFonts w:asciiTheme="minorHAnsi" w:hAnsiTheme="minorHAnsi" w:cstheme="minorHAnsi"/>
                <w:color w:val="222222"/>
                <w:sz w:val="16"/>
                <w:szCs w:val="16"/>
              </w:rPr>
              <w:t>a</w:t>
            </w:r>
            <w:r w:rsidR="00554EDF" w:rsidRPr="00913813">
              <w:rPr>
                <w:rFonts w:asciiTheme="minorHAnsi" w:hAnsiTheme="minorHAnsi" w:cstheme="minorHAnsi"/>
                <w:color w:val="222222"/>
                <w:sz w:val="16"/>
                <w:szCs w:val="16"/>
              </w:rPr>
              <w:t>ny specific commitments stemming from establishment / implementation plan</w:t>
            </w:r>
            <w:r w:rsidR="00C30FBA" w:rsidRPr="00913813">
              <w:rPr>
                <w:rFonts w:asciiTheme="minorHAnsi" w:hAnsiTheme="minorHAnsi" w:cstheme="minorHAnsi"/>
                <w:color w:val="222222"/>
                <w:sz w:val="16"/>
                <w:szCs w:val="16"/>
              </w:rPr>
              <w:t>.</w:t>
            </w:r>
            <w:r w:rsidR="00554EDF" w:rsidRPr="00913813">
              <w:rPr>
                <w:rFonts w:asciiTheme="minorHAnsi" w:hAnsiTheme="minorHAnsi" w:cstheme="minorHAnsi"/>
                <w:color w:val="222222"/>
                <w:sz w:val="16"/>
                <w:szCs w:val="16"/>
              </w:rPr>
              <w:t xml:space="preserve"> </w:t>
            </w:r>
          </w:p>
        </w:tc>
        <w:tc>
          <w:tcPr>
            <w:tcW w:w="3783" w:type="dxa"/>
            <w:shd w:val="clear" w:color="auto" w:fill="92D050"/>
            <w:vAlign w:val="center"/>
          </w:tcPr>
          <w:p w14:paraId="12D3394A" w14:textId="67ADBBB1" w:rsidR="00C91242" w:rsidRPr="00913813" w:rsidRDefault="00E823F8" w:rsidP="0084525B">
            <w:pPr>
              <w:rPr>
                <w:rFonts w:asciiTheme="minorHAnsi" w:hAnsiTheme="minorHAnsi" w:cstheme="minorHAnsi"/>
                <w:sz w:val="16"/>
                <w:szCs w:val="16"/>
              </w:rPr>
            </w:pPr>
            <w:r w:rsidRPr="00913813">
              <w:rPr>
                <w:rFonts w:asciiTheme="minorHAnsi" w:hAnsiTheme="minorHAnsi" w:cstheme="minorHAnsi"/>
                <w:sz w:val="16"/>
                <w:szCs w:val="16"/>
              </w:rPr>
              <w:t>Initial inputs provided, backed up by discussions on underlying success factors, during March IDI Board meeting in South-Africa.</w:t>
            </w:r>
          </w:p>
        </w:tc>
      </w:tr>
    </w:tbl>
    <w:p w14:paraId="561F45FB" w14:textId="77777777" w:rsidR="009F715C" w:rsidRDefault="009F715C" w:rsidP="008E2544"/>
    <w:sectPr w:rsidR="009F715C" w:rsidSect="00070503">
      <w:footerReference w:type="default" r:id="rId11"/>
      <w:pgSz w:w="16838" w:h="11906" w:orient="landscape"/>
      <w:pgMar w:top="1021"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05D0A" w14:textId="77777777" w:rsidR="00173A05" w:rsidRDefault="00173A05" w:rsidP="00130036">
      <w:pPr>
        <w:spacing w:after="0" w:line="240" w:lineRule="auto"/>
      </w:pPr>
      <w:r>
        <w:separator/>
      </w:r>
    </w:p>
  </w:endnote>
  <w:endnote w:type="continuationSeparator" w:id="0">
    <w:p w14:paraId="5632EC56" w14:textId="77777777" w:rsidR="00173A05" w:rsidRDefault="00173A05" w:rsidP="0013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439048"/>
      <w:docPartObj>
        <w:docPartGallery w:val="Page Numbers (Bottom of Page)"/>
        <w:docPartUnique/>
      </w:docPartObj>
    </w:sdtPr>
    <w:sdtEndPr>
      <w:rPr>
        <w:sz w:val="18"/>
        <w:szCs w:val="18"/>
      </w:rPr>
    </w:sdtEndPr>
    <w:sdtContent>
      <w:p w14:paraId="4B28F223" w14:textId="77777777" w:rsidR="00034621" w:rsidRDefault="00216799">
        <w:pPr>
          <w:pStyle w:val="Footer"/>
          <w:jc w:val="right"/>
        </w:pPr>
        <w:r>
          <w:fldChar w:fldCharType="begin"/>
        </w:r>
        <w:r>
          <w:instrText>PAGE   \* MERGEFORMAT</w:instrText>
        </w:r>
        <w:r>
          <w:fldChar w:fldCharType="separate"/>
        </w:r>
        <w:r w:rsidR="003342CD" w:rsidRPr="003342CD">
          <w:rPr>
            <w:noProof/>
            <w:lang w:val="nl-NL"/>
          </w:rPr>
          <w:t>2</w:t>
        </w:r>
        <w:r>
          <w:fldChar w:fldCharType="end"/>
        </w:r>
      </w:p>
      <w:p w14:paraId="7525C675" w14:textId="77777777" w:rsidR="00151F51" w:rsidRPr="004B70A5" w:rsidRDefault="00034621" w:rsidP="00034621">
        <w:pPr>
          <w:pStyle w:val="Footer"/>
          <w:rPr>
            <w:sz w:val="16"/>
            <w:szCs w:val="16"/>
          </w:rPr>
        </w:pPr>
        <w:r w:rsidRPr="00E1237C">
          <w:rPr>
            <w:b/>
            <w:bCs/>
            <w:sz w:val="18"/>
            <w:szCs w:val="18"/>
          </w:rPr>
          <w:t>Note</w:t>
        </w:r>
      </w:p>
      <w:p w14:paraId="49CF69F0" w14:textId="440B00AD" w:rsidR="00151F51" w:rsidRPr="004B70A5" w:rsidRDefault="00C86776" w:rsidP="00151F51">
        <w:pPr>
          <w:pStyle w:val="Footer"/>
          <w:numPr>
            <w:ilvl w:val="0"/>
            <w:numId w:val="37"/>
          </w:numPr>
          <w:rPr>
            <w:sz w:val="16"/>
            <w:szCs w:val="16"/>
          </w:rPr>
        </w:pPr>
        <w:r w:rsidRPr="004B70A5">
          <w:rPr>
            <w:sz w:val="16"/>
            <w:szCs w:val="16"/>
          </w:rPr>
          <w:t>for objectives 3 and 4 above, the TFIAP may want to consider</w:t>
        </w:r>
        <w:r w:rsidR="00E1237C" w:rsidRPr="004B70A5">
          <w:rPr>
            <w:sz w:val="16"/>
            <w:szCs w:val="16"/>
          </w:rPr>
          <w:t xml:space="preserve"> development / sourcing of more competency sets (other disciplines)</w:t>
        </w:r>
      </w:p>
      <w:p w14:paraId="7C0FF43F" w14:textId="0A85E826" w:rsidR="00151F51" w:rsidRPr="004B70A5" w:rsidRDefault="00151F51" w:rsidP="00151F51">
        <w:pPr>
          <w:pStyle w:val="Footer"/>
          <w:numPr>
            <w:ilvl w:val="0"/>
            <w:numId w:val="37"/>
          </w:numPr>
          <w:rPr>
            <w:sz w:val="16"/>
            <w:szCs w:val="16"/>
          </w:rPr>
        </w:pPr>
        <w:r w:rsidRPr="004B70A5">
          <w:rPr>
            <w:sz w:val="16"/>
            <w:szCs w:val="16"/>
          </w:rPr>
          <w:t xml:space="preserve">Since ISSAI 150 was the main deliverable of the group and since it is positioned as the key driver of competence management in the IFPP, </w:t>
        </w:r>
        <w:r w:rsidR="0081304B" w:rsidRPr="004B70A5">
          <w:rPr>
            <w:sz w:val="16"/>
            <w:szCs w:val="16"/>
          </w:rPr>
          <w:t>the TFIAP’s work will remain grounded in ISSAI 150. This does, however, not mean that the work ignore</w:t>
        </w:r>
        <w:r w:rsidR="004B70A5" w:rsidRPr="004B70A5">
          <w:rPr>
            <w:sz w:val="16"/>
            <w:szCs w:val="16"/>
          </w:rPr>
          <w:t xml:space="preserve">s requirements from other standards that deal with competency development, </w:t>
        </w:r>
        <w:proofErr w:type="gramStart"/>
        <w:r w:rsidR="004B70A5" w:rsidRPr="004B70A5">
          <w:rPr>
            <w:sz w:val="16"/>
            <w:szCs w:val="16"/>
          </w:rPr>
          <w:t>e.g.</w:t>
        </w:r>
        <w:proofErr w:type="gramEnd"/>
        <w:r w:rsidR="004B70A5" w:rsidRPr="004B70A5">
          <w:rPr>
            <w:sz w:val="16"/>
            <w:szCs w:val="16"/>
          </w:rPr>
          <w:t xml:space="preserve"> ISSAI 140 and others.</w:t>
        </w:r>
      </w:p>
      <w:p w14:paraId="3D316315" w14:textId="0F75275B" w:rsidR="00216799" w:rsidRPr="00E1237C" w:rsidRDefault="00000000" w:rsidP="00151F51">
        <w:pPr>
          <w:pStyle w:val="Footer"/>
          <w:rPr>
            <w:sz w:val="18"/>
            <w:szCs w:val="18"/>
          </w:rPr>
        </w:pPr>
      </w:p>
    </w:sdtContent>
  </w:sdt>
  <w:p w14:paraId="2AB2E96F" w14:textId="77777777" w:rsidR="00216799" w:rsidRDefault="00216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C34E7" w14:textId="77777777" w:rsidR="00173A05" w:rsidRDefault="00173A05" w:rsidP="00130036">
      <w:pPr>
        <w:spacing w:after="0" w:line="240" w:lineRule="auto"/>
      </w:pPr>
      <w:r>
        <w:separator/>
      </w:r>
    </w:p>
  </w:footnote>
  <w:footnote w:type="continuationSeparator" w:id="0">
    <w:p w14:paraId="3BFF6503" w14:textId="77777777" w:rsidR="00173A05" w:rsidRDefault="00173A05" w:rsidP="00130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427"/>
    <w:multiLevelType w:val="hybridMultilevel"/>
    <w:tmpl w:val="EFC4E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797BEC"/>
    <w:multiLevelType w:val="hybridMultilevel"/>
    <w:tmpl w:val="A3580950"/>
    <w:lvl w:ilvl="0" w:tplc="1C090017">
      <w:start w:val="1"/>
      <w:numFmt w:val="lowerLetter"/>
      <w:lvlText w:val="%1)"/>
      <w:lvlJc w:val="left"/>
      <w:pPr>
        <w:ind w:left="754" w:hanging="360"/>
      </w:p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abstractNum w:abstractNumId="2" w15:restartNumberingAfterBreak="0">
    <w:nsid w:val="0D082F59"/>
    <w:multiLevelType w:val="hybridMultilevel"/>
    <w:tmpl w:val="3940940A"/>
    <w:lvl w:ilvl="0" w:tplc="C048242A">
      <w:numFmt w:val="bullet"/>
      <w:lvlText w:val="-"/>
      <w:lvlJc w:val="left"/>
      <w:pPr>
        <w:ind w:left="77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9C67D9D"/>
    <w:multiLevelType w:val="hybridMultilevel"/>
    <w:tmpl w:val="959AA88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A6F5299"/>
    <w:multiLevelType w:val="hybridMultilevel"/>
    <w:tmpl w:val="B6BAAE42"/>
    <w:lvl w:ilvl="0" w:tplc="B7C457F4">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BA370EC"/>
    <w:multiLevelType w:val="hybridMultilevel"/>
    <w:tmpl w:val="C512D3F4"/>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17F45B4"/>
    <w:multiLevelType w:val="hybridMultilevel"/>
    <w:tmpl w:val="7D9A01C0"/>
    <w:lvl w:ilvl="0" w:tplc="1C09001B">
      <w:start w:val="1"/>
      <w:numFmt w:val="lowerRoman"/>
      <w:lvlText w:val="%1."/>
      <w:lvlJc w:val="right"/>
      <w:pPr>
        <w:ind w:left="612" w:hanging="360"/>
      </w:pPr>
    </w:lvl>
    <w:lvl w:ilvl="1" w:tplc="1C090019" w:tentative="1">
      <w:start w:val="1"/>
      <w:numFmt w:val="lowerLetter"/>
      <w:lvlText w:val="%2."/>
      <w:lvlJc w:val="left"/>
      <w:pPr>
        <w:ind w:left="1332" w:hanging="360"/>
      </w:pPr>
    </w:lvl>
    <w:lvl w:ilvl="2" w:tplc="1C09001B" w:tentative="1">
      <w:start w:val="1"/>
      <w:numFmt w:val="lowerRoman"/>
      <w:lvlText w:val="%3."/>
      <w:lvlJc w:val="right"/>
      <w:pPr>
        <w:ind w:left="2052" w:hanging="180"/>
      </w:pPr>
    </w:lvl>
    <w:lvl w:ilvl="3" w:tplc="1C09000F" w:tentative="1">
      <w:start w:val="1"/>
      <w:numFmt w:val="decimal"/>
      <w:lvlText w:val="%4."/>
      <w:lvlJc w:val="left"/>
      <w:pPr>
        <w:ind w:left="2772" w:hanging="360"/>
      </w:pPr>
    </w:lvl>
    <w:lvl w:ilvl="4" w:tplc="1C090019" w:tentative="1">
      <w:start w:val="1"/>
      <w:numFmt w:val="lowerLetter"/>
      <w:lvlText w:val="%5."/>
      <w:lvlJc w:val="left"/>
      <w:pPr>
        <w:ind w:left="3492" w:hanging="360"/>
      </w:pPr>
    </w:lvl>
    <w:lvl w:ilvl="5" w:tplc="1C09001B" w:tentative="1">
      <w:start w:val="1"/>
      <w:numFmt w:val="lowerRoman"/>
      <w:lvlText w:val="%6."/>
      <w:lvlJc w:val="right"/>
      <w:pPr>
        <w:ind w:left="4212" w:hanging="180"/>
      </w:pPr>
    </w:lvl>
    <w:lvl w:ilvl="6" w:tplc="1C09000F" w:tentative="1">
      <w:start w:val="1"/>
      <w:numFmt w:val="decimal"/>
      <w:lvlText w:val="%7."/>
      <w:lvlJc w:val="left"/>
      <w:pPr>
        <w:ind w:left="4932" w:hanging="360"/>
      </w:pPr>
    </w:lvl>
    <w:lvl w:ilvl="7" w:tplc="1C090019" w:tentative="1">
      <w:start w:val="1"/>
      <w:numFmt w:val="lowerLetter"/>
      <w:lvlText w:val="%8."/>
      <w:lvlJc w:val="left"/>
      <w:pPr>
        <w:ind w:left="5652" w:hanging="360"/>
      </w:pPr>
    </w:lvl>
    <w:lvl w:ilvl="8" w:tplc="1C09001B" w:tentative="1">
      <w:start w:val="1"/>
      <w:numFmt w:val="lowerRoman"/>
      <w:lvlText w:val="%9."/>
      <w:lvlJc w:val="right"/>
      <w:pPr>
        <w:ind w:left="6372" w:hanging="180"/>
      </w:pPr>
    </w:lvl>
  </w:abstractNum>
  <w:abstractNum w:abstractNumId="7" w15:restartNumberingAfterBreak="0">
    <w:nsid w:val="24B6241B"/>
    <w:multiLevelType w:val="hybridMultilevel"/>
    <w:tmpl w:val="9252C616"/>
    <w:lvl w:ilvl="0" w:tplc="041D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0430A6"/>
    <w:multiLevelType w:val="hybridMultilevel"/>
    <w:tmpl w:val="230E3346"/>
    <w:lvl w:ilvl="0" w:tplc="1C090005">
      <w:start w:val="1"/>
      <w:numFmt w:val="bullet"/>
      <w:lvlText w:val=""/>
      <w:lvlJc w:val="left"/>
      <w:pPr>
        <w:ind w:left="1080" w:hanging="360"/>
      </w:pPr>
      <w:rPr>
        <w:rFonts w:ascii="Wingdings" w:hAnsi="Wingding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29D5D67"/>
    <w:multiLevelType w:val="hybridMultilevel"/>
    <w:tmpl w:val="777EB2E4"/>
    <w:lvl w:ilvl="0" w:tplc="11180DA4">
      <w:start w:val="1"/>
      <w:numFmt w:val="bullet"/>
      <w:lvlText w:val="ú"/>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33FB5EA2"/>
    <w:multiLevelType w:val="hybridMultilevel"/>
    <w:tmpl w:val="84CC2060"/>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35385BB0"/>
    <w:multiLevelType w:val="hybridMultilevel"/>
    <w:tmpl w:val="2B2465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7A72E12"/>
    <w:multiLevelType w:val="hybridMultilevel"/>
    <w:tmpl w:val="AD7E5362"/>
    <w:lvl w:ilvl="0" w:tplc="1C09001B">
      <w:start w:val="1"/>
      <w:numFmt w:val="lowerRoman"/>
      <w:lvlText w:val="%1."/>
      <w:lvlJc w:val="right"/>
      <w:pPr>
        <w:ind w:left="754" w:hanging="720"/>
      </w:pPr>
      <w:rPr>
        <w:rFonts w:hint="default"/>
      </w:rPr>
    </w:lvl>
    <w:lvl w:ilvl="1" w:tplc="1C090019" w:tentative="1">
      <w:start w:val="1"/>
      <w:numFmt w:val="lowerLetter"/>
      <w:lvlText w:val="%2."/>
      <w:lvlJc w:val="left"/>
      <w:pPr>
        <w:ind w:left="1114" w:hanging="360"/>
      </w:pPr>
    </w:lvl>
    <w:lvl w:ilvl="2" w:tplc="1C09001B" w:tentative="1">
      <w:start w:val="1"/>
      <w:numFmt w:val="lowerRoman"/>
      <w:lvlText w:val="%3."/>
      <w:lvlJc w:val="right"/>
      <w:pPr>
        <w:ind w:left="1834" w:hanging="180"/>
      </w:pPr>
    </w:lvl>
    <w:lvl w:ilvl="3" w:tplc="1C09000F" w:tentative="1">
      <w:start w:val="1"/>
      <w:numFmt w:val="decimal"/>
      <w:lvlText w:val="%4."/>
      <w:lvlJc w:val="left"/>
      <w:pPr>
        <w:ind w:left="2554" w:hanging="360"/>
      </w:pPr>
    </w:lvl>
    <w:lvl w:ilvl="4" w:tplc="1C090019" w:tentative="1">
      <w:start w:val="1"/>
      <w:numFmt w:val="lowerLetter"/>
      <w:lvlText w:val="%5."/>
      <w:lvlJc w:val="left"/>
      <w:pPr>
        <w:ind w:left="3274" w:hanging="360"/>
      </w:pPr>
    </w:lvl>
    <w:lvl w:ilvl="5" w:tplc="1C09001B" w:tentative="1">
      <w:start w:val="1"/>
      <w:numFmt w:val="lowerRoman"/>
      <w:lvlText w:val="%6."/>
      <w:lvlJc w:val="right"/>
      <w:pPr>
        <w:ind w:left="3994" w:hanging="180"/>
      </w:pPr>
    </w:lvl>
    <w:lvl w:ilvl="6" w:tplc="1C09000F" w:tentative="1">
      <w:start w:val="1"/>
      <w:numFmt w:val="decimal"/>
      <w:lvlText w:val="%7."/>
      <w:lvlJc w:val="left"/>
      <w:pPr>
        <w:ind w:left="4714" w:hanging="360"/>
      </w:pPr>
    </w:lvl>
    <w:lvl w:ilvl="7" w:tplc="1C090019" w:tentative="1">
      <w:start w:val="1"/>
      <w:numFmt w:val="lowerLetter"/>
      <w:lvlText w:val="%8."/>
      <w:lvlJc w:val="left"/>
      <w:pPr>
        <w:ind w:left="5434" w:hanging="360"/>
      </w:pPr>
    </w:lvl>
    <w:lvl w:ilvl="8" w:tplc="1C09001B" w:tentative="1">
      <w:start w:val="1"/>
      <w:numFmt w:val="lowerRoman"/>
      <w:lvlText w:val="%9."/>
      <w:lvlJc w:val="right"/>
      <w:pPr>
        <w:ind w:left="6154" w:hanging="180"/>
      </w:pPr>
    </w:lvl>
  </w:abstractNum>
  <w:abstractNum w:abstractNumId="13" w15:restartNumberingAfterBreak="0">
    <w:nsid w:val="3ABB5184"/>
    <w:multiLevelType w:val="hybridMultilevel"/>
    <w:tmpl w:val="1BAE57B4"/>
    <w:lvl w:ilvl="0" w:tplc="1C090017">
      <w:start w:val="1"/>
      <w:numFmt w:val="lowerLetter"/>
      <w:lvlText w:val="%1)"/>
      <w:lvlJc w:val="left"/>
      <w:pPr>
        <w:ind w:left="720" w:hanging="360"/>
      </w:pPr>
      <w:rPr>
        <w:rFonts w:hint="default"/>
      </w:rPr>
    </w:lvl>
    <w:lvl w:ilvl="1" w:tplc="AAB6BD92">
      <w:start w:val="1"/>
      <w:numFmt w:val="decimal"/>
      <w:lvlText w:val="%2."/>
      <w:lvlJc w:val="left"/>
      <w:pPr>
        <w:ind w:left="1480" w:hanging="40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E2B4443"/>
    <w:multiLevelType w:val="hybridMultilevel"/>
    <w:tmpl w:val="896C90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FE33A80"/>
    <w:multiLevelType w:val="hybridMultilevel"/>
    <w:tmpl w:val="F0B4D0C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BCC21A6"/>
    <w:multiLevelType w:val="hybridMultilevel"/>
    <w:tmpl w:val="8FAC311E"/>
    <w:lvl w:ilvl="0" w:tplc="1C090005">
      <w:start w:val="1"/>
      <w:numFmt w:val="bullet"/>
      <w:lvlText w:val=""/>
      <w:lvlJc w:val="left"/>
      <w:pPr>
        <w:ind w:left="819" w:hanging="360"/>
      </w:pPr>
      <w:rPr>
        <w:rFonts w:ascii="Wingdings" w:hAnsi="Wingdings" w:hint="default"/>
      </w:rPr>
    </w:lvl>
    <w:lvl w:ilvl="1" w:tplc="1C090003" w:tentative="1">
      <w:start w:val="1"/>
      <w:numFmt w:val="bullet"/>
      <w:lvlText w:val="o"/>
      <w:lvlJc w:val="left"/>
      <w:pPr>
        <w:ind w:left="1539" w:hanging="360"/>
      </w:pPr>
      <w:rPr>
        <w:rFonts w:ascii="Courier New" w:hAnsi="Courier New" w:cs="Courier New" w:hint="default"/>
      </w:rPr>
    </w:lvl>
    <w:lvl w:ilvl="2" w:tplc="1C090005" w:tentative="1">
      <w:start w:val="1"/>
      <w:numFmt w:val="bullet"/>
      <w:lvlText w:val=""/>
      <w:lvlJc w:val="left"/>
      <w:pPr>
        <w:ind w:left="2259" w:hanging="360"/>
      </w:pPr>
      <w:rPr>
        <w:rFonts w:ascii="Wingdings" w:hAnsi="Wingdings" w:hint="default"/>
      </w:rPr>
    </w:lvl>
    <w:lvl w:ilvl="3" w:tplc="1C090001" w:tentative="1">
      <w:start w:val="1"/>
      <w:numFmt w:val="bullet"/>
      <w:lvlText w:val=""/>
      <w:lvlJc w:val="left"/>
      <w:pPr>
        <w:ind w:left="2979" w:hanging="360"/>
      </w:pPr>
      <w:rPr>
        <w:rFonts w:ascii="Symbol" w:hAnsi="Symbol" w:hint="default"/>
      </w:rPr>
    </w:lvl>
    <w:lvl w:ilvl="4" w:tplc="1C090003" w:tentative="1">
      <w:start w:val="1"/>
      <w:numFmt w:val="bullet"/>
      <w:lvlText w:val="o"/>
      <w:lvlJc w:val="left"/>
      <w:pPr>
        <w:ind w:left="3699" w:hanging="360"/>
      </w:pPr>
      <w:rPr>
        <w:rFonts w:ascii="Courier New" w:hAnsi="Courier New" w:cs="Courier New" w:hint="default"/>
      </w:rPr>
    </w:lvl>
    <w:lvl w:ilvl="5" w:tplc="1C090005" w:tentative="1">
      <w:start w:val="1"/>
      <w:numFmt w:val="bullet"/>
      <w:lvlText w:val=""/>
      <w:lvlJc w:val="left"/>
      <w:pPr>
        <w:ind w:left="4419" w:hanging="360"/>
      </w:pPr>
      <w:rPr>
        <w:rFonts w:ascii="Wingdings" w:hAnsi="Wingdings" w:hint="default"/>
      </w:rPr>
    </w:lvl>
    <w:lvl w:ilvl="6" w:tplc="1C090001" w:tentative="1">
      <w:start w:val="1"/>
      <w:numFmt w:val="bullet"/>
      <w:lvlText w:val=""/>
      <w:lvlJc w:val="left"/>
      <w:pPr>
        <w:ind w:left="5139" w:hanging="360"/>
      </w:pPr>
      <w:rPr>
        <w:rFonts w:ascii="Symbol" w:hAnsi="Symbol" w:hint="default"/>
      </w:rPr>
    </w:lvl>
    <w:lvl w:ilvl="7" w:tplc="1C090003" w:tentative="1">
      <w:start w:val="1"/>
      <w:numFmt w:val="bullet"/>
      <w:lvlText w:val="o"/>
      <w:lvlJc w:val="left"/>
      <w:pPr>
        <w:ind w:left="5859" w:hanging="360"/>
      </w:pPr>
      <w:rPr>
        <w:rFonts w:ascii="Courier New" w:hAnsi="Courier New" w:cs="Courier New" w:hint="default"/>
      </w:rPr>
    </w:lvl>
    <w:lvl w:ilvl="8" w:tplc="1C090005" w:tentative="1">
      <w:start w:val="1"/>
      <w:numFmt w:val="bullet"/>
      <w:lvlText w:val=""/>
      <w:lvlJc w:val="left"/>
      <w:pPr>
        <w:ind w:left="6579" w:hanging="360"/>
      </w:pPr>
      <w:rPr>
        <w:rFonts w:ascii="Wingdings" w:hAnsi="Wingdings" w:hint="default"/>
      </w:rPr>
    </w:lvl>
  </w:abstractNum>
  <w:abstractNum w:abstractNumId="17" w15:restartNumberingAfterBreak="0">
    <w:nsid w:val="4E90289E"/>
    <w:multiLevelType w:val="hybridMultilevel"/>
    <w:tmpl w:val="7AC0827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4FC27C4C"/>
    <w:multiLevelType w:val="hybridMultilevel"/>
    <w:tmpl w:val="A3C09732"/>
    <w:lvl w:ilvl="0" w:tplc="1C090017">
      <w:start w:val="1"/>
      <w:numFmt w:val="lowerLetter"/>
      <w:lvlText w:val="%1)"/>
      <w:lvlJc w:val="left"/>
      <w:pPr>
        <w:ind w:left="754" w:hanging="360"/>
      </w:p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abstractNum w:abstractNumId="19" w15:restartNumberingAfterBreak="0">
    <w:nsid w:val="57837230"/>
    <w:multiLevelType w:val="hybridMultilevel"/>
    <w:tmpl w:val="06C89E84"/>
    <w:lvl w:ilvl="0" w:tplc="EBCEC688">
      <w:start w:val="3"/>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A146D77"/>
    <w:multiLevelType w:val="hybridMultilevel"/>
    <w:tmpl w:val="8458C4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020740"/>
    <w:multiLevelType w:val="hybridMultilevel"/>
    <w:tmpl w:val="9500A9D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5E4E1968"/>
    <w:multiLevelType w:val="hybridMultilevel"/>
    <w:tmpl w:val="C1380BB0"/>
    <w:lvl w:ilvl="0" w:tplc="C048242A">
      <w:numFmt w:val="bullet"/>
      <w:lvlText w:val="-"/>
      <w:lvlJc w:val="left"/>
      <w:pPr>
        <w:ind w:left="770" w:hanging="360"/>
      </w:pPr>
      <w:rPr>
        <w:rFonts w:ascii="Calibri" w:eastAsiaTheme="minorHAnsi" w:hAnsi="Calibri" w:cs="Calibri"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23" w15:restartNumberingAfterBreak="0">
    <w:nsid w:val="60FE4868"/>
    <w:multiLevelType w:val="multilevel"/>
    <w:tmpl w:val="F91C62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2F77367"/>
    <w:multiLevelType w:val="hybridMultilevel"/>
    <w:tmpl w:val="954877A0"/>
    <w:lvl w:ilvl="0" w:tplc="1C09001B">
      <w:start w:val="1"/>
      <w:numFmt w:val="lowerRoman"/>
      <w:lvlText w:val="%1."/>
      <w:lvlJc w:val="right"/>
      <w:pPr>
        <w:ind w:left="720" w:hanging="360"/>
      </w:pPr>
      <w:rPr>
        <w:rFonts w:hint="default"/>
      </w:rPr>
    </w:lvl>
    <w:lvl w:ilvl="1" w:tplc="AAB6BD92">
      <w:start w:val="1"/>
      <w:numFmt w:val="decimal"/>
      <w:lvlText w:val="%2."/>
      <w:lvlJc w:val="left"/>
      <w:pPr>
        <w:ind w:left="1480" w:hanging="40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4A2779D"/>
    <w:multiLevelType w:val="hybridMultilevel"/>
    <w:tmpl w:val="11BEF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EC375D"/>
    <w:multiLevelType w:val="hybridMultilevel"/>
    <w:tmpl w:val="C61E14AA"/>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B974EE0"/>
    <w:multiLevelType w:val="hybridMultilevel"/>
    <w:tmpl w:val="3B68872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FD63C78"/>
    <w:multiLevelType w:val="hybridMultilevel"/>
    <w:tmpl w:val="30AA37D4"/>
    <w:lvl w:ilvl="0" w:tplc="1C090005">
      <w:start w:val="1"/>
      <w:numFmt w:val="bullet"/>
      <w:lvlText w:val=""/>
      <w:lvlJc w:val="left"/>
      <w:pPr>
        <w:ind w:left="819" w:hanging="360"/>
      </w:pPr>
      <w:rPr>
        <w:rFonts w:ascii="Wingdings" w:hAnsi="Wingdings" w:hint="default"/>
      </w:rPr>
    </w:lvl>
    <w:lvl w:ilvl="1" w:tplc="1C090003" w:tentative="1">
      <w:start w:val="1"/>
      <w:numFmt w:val="bullet"/>
      <w:lvlText w:val="o"/>
      <w:lvlJc w:val="left"/>
      <w:pPr>
        <w:ind w:left="1539" w:hanging="360"/>
      </w:pPr>
      <w:rPr>
        <w:rFonts w:ascii="Courier New" w:hAnsi="Courier New" w:cs="Courier New" w:hint="default"/>
      </w:rPr>
    </w:lvl>
    <w:lvl w:ilvl="2" w:tplc="1C090005" w:tentative="1">
      <w:start w:val="1"/>
      <w:numFmt w:val="bullet"/>
      <w:lvlText w:val=""/>
      <w:lvlJc w:val="left"/>
      <w:pPr>
        <w:ind w:left="2259" w:hanging="360"/>
      </w:pPr>
      <w:rPr>
        <w:rFonts w:ascii="Wingdings" w:hAnsi="Wingdings" w:hint="default"/>
      </w:rPr>
    </w:lvl>
    <w:lvl w:ilvl="3" w:tplc="1C090001" w:tentative="1">
      <w:start w:val="1"/>
      <w:numFmt w:val="bullet"/>
      <w:lvlText w:val=""/>
      <w:lvlJc w:val="left"/>
      <w:pPr>
        <w:ind w:left="2979" w:hanging="360"/>
      </w:pPr>
      <w:rPr>
        <w:rFonts w:ascii="Symbol" w:hAnsi="Symbol" w:hint="default"/>
      </w:rPr>
    </w:lvl>
    <w:lvl w:ilvl="4" w:tplc="1C090003" w:tentative="1">
      <w:start w:val="1"/>
      <w:numFmt w:val="bullet"/>
      <w:lvlText w:val="o"/>
      <w:lvlJc w:val="left"/>
      <w:pPr>
        <w:ind w:left="3699" w:hanging="360"/>
      </w:pPr>
      <w:rPr>
        <w:rFonts w:ascii="Courier New" w:hAnsi="Courier New" w:cs="Courier New" w:hint="default"/>
      </w:rPr>
    </w:lvl>
    <w:lvl w:ilvl="5" w:tplc="1C090005" w:tentative="1">
      <w:start w:val="1"/>
      <w:numFmt w:val="bullet"/>
      <w:lvlText w:val=""/>
      <w:lvlJc w:val="left"/>
      <w:pPr>
        <w:ind w:left="4419" w:hanging="360"/>
      </w:pPr>
      <w:rPr>
        <w:rFonts w:ascii="Wingdings" w:hAnsi="Wingdings" w:hint="default"/>
      </w:rPr>
    </w:lvl>
    <w:lvl w:ilvl="6" w:tplc="1C090001" w:tentative="1">
      <w:start w:val="1"/>
      <w:numFmt w:val="bullet"/>
      <w:lvlText w:val=""/>
      <w:lvlJc w:val="left"/>
      <w:pPr>
        <w:ind w:left="5139" w:hanging="360"/>
      </w:pPr>
      <w:rPr>
        <w:rFonts w:ascii="Symbol" w:hAnsi="Symbol" w:hint="default"/>
      </w:rPr>
    </w:lvl>
    <w:lvl w:ilvl="7" w:tplc="1C090003" w:tentative="1">
      <w:start w:val="1"/>
      <w:numFmt w:val="bullet"/>
      <w:lvlText w:val="o"/>
      <w:lvlJc w:val="left"/>
      <w:pPr>
        <w:ind w:left="5859" w:hanging="360"/>
      </w:pPr>
      <w:rPr>
        <w:rFonts w:ascii="Courier New" w:hAnsi="Courier New" w:cs="Courier New" w:hint="default"/>
      </w:rPr>
    </w:lvl>
    <w:lvl w:ilvl="8" w:tplc="1C090005" w:tentative="1">
      <w:start w:val="1"/>
      <w:numFmt w:val="bullet"/>
      <w:lvlText w:val=""/>
      <w:lvlJc w:val="left"/>
      <w:pPr>
        <w:ind w:left="6579" w:hanging="360"/>
      </w:pPr>
      <w:rPr>
        <w:rFonts w:ascii="Wingdings" w:hAnsi="Wingdings" w:hint="default"/>
      </w:rPr>
    </w:lvl>
  </w:abstractNum>
  <w:abstractNum w:abstractNumId="29" w15:restartNumberingAfterBreak="0">
    <w:nsid w:val="716D2607"/>
    <w:multiLevelType w:val="hybridMultilevel"/>
    <w:tmpl w:val="32A8E4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3DD2A41"/>
    <w:multiLevelType w:val="hybridMultilevel"/>
    <w:tmpl w:val="88BE48A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5D41F84"/>
    <w:multiLevelType w:val="hybridMultilevel"/>
    <w:tmpl w:val="A5CE47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FC72EA"/>
    <w:multiLevelType w:val="hybridMultilevel"/>
    <w:tmpl w:val="B394E5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B135348"/>
    <w:multiLevelType w:val="hybridMultilevel"/>
    <w:tmpl w:val="B72E074C"/>
    <w:lvl w:ilvl="0" w:tplc="1C090017">
      <w:start w:val="1"/>
      <w:numFmt w:val="lowerLetter"/>
      <w:lvlText w:val="%1)"/>
      <w:lvlJc w:val="left"/>
      <w:pPr>
        <w:ind w:left="754" w:hanging="360"/>
      </w:p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abstractNum w:abstractNumId="34" w15:restartNumberingAfterBreak="0">
    <w:nsid w:val="7BE975E1"/>
    <w:multiLevelType w:val="hybridMultilevel"/>
    <w:tmpl w:val="B72E074C"/>
    <w:lvl w:ilvl="0" w:tplc="1C090017">
      <w:start w:val="1"/>
      <w:numFmt w:val="lowerLetter"/>
      <w:lvlText w:val="%1)"/>
      <w:lvlJc w:val="left"/>
      <w:pPr>
        <w:ind w:left="754" w:hanging="360"/>
      </w:p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abstractNum w:abstractNumId="35" w15:restartNumberingAfterBreak="0">
    <w:nsid w:val="7E751632"/>
    <w:multiLevelType w:val="multilevel"/>
    <w:tmpl w:val="4CBC5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E776760"/>
    <w:multiLevelType w:val="hybridMultilevel"/>
    <w:tmpl w:val="CBD66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84477418">
    <w:abstractNumId w:val="5"/>
  </w:num>
  <w:num w:numId="2" w16cid:durableId="628049230">
    <w:abstractNumId w:val="16"/>
  </w:num>
  <w:num w:numId="3" w16cid:durableId="1762986127">
    <w:abstractNumId w:val="29"/>
  </w:num>
  <w:num w:numId="4" w16cid:durableId="486746626">
    <w:abstractNumId w:val="21"/>
  </w:num>
  <w:num w:numId="5" w16cid:durableId="1328750801">
    <w:abstractNumId w:val="26"/>
  </w:num>
  <w:num w:numId="6" w16cid:durableId="683676746">
    <w:abstractNumId w:val="4"/>
  </w:num>
  <w:num w:numId="7" w16cid:durableId="174881897">
    <w:abstractNumId w:val="1"/>
  </w:num>
  <w:num w:numId="8" w16cid:durableId="18165356">
    <w:abstractNumId w:val="34"/>
  </w:num>
  <w:num w:numId="9" w16cid:durableId="1236818262">
    <w:abstractNumId w:val="33"/>
  </w:num>
  <w:num w:numId="10" w16cid:durableId="476338414">
    <w:abstractNumId w:val="24"/>
  </w:num>
  <w:num w:numId="11" w16cid:durableId="523590686">
    <w:abstractNumId w:val="18"/>
  </w:num>
  <w:num w:numId="12" w16cid:durableId="1682507229">
    <w:abstractNumId w:val="3"/>
  </w:num>
  <w:num w:numId="13" w16cid:durableId="1363747188">
    <w:abstractNumId w:val="14"/>
  </w:num>
  <w:num w:numId="14" w16cid:durableId="1525439627">
    <w:abstractNumId w:val="12"/>
  </w:num>
  <w:num w:numId="15" w16cid:durableId="2010979561">
    <w:abstractNumId w:val="6"/>
  </w:num>
  <w:num w:numId="16" w16cid:durableId="754016451">
    <w:abstractNumId w:val="13"/>
  </w:num>
  <w:num w:numId="17" w16cid:durableId="1629235213">
    <w:abstractNumId w:val="27"/>
  </w:num>
  <w:num w:numId="18" w16cid:durableId="403798919">
    <w:abstractNumId w:val="28"/>
  </w:num>
  <w:num w:numId="19" w16cid:durableId="439229033">
    <w:abstractNumId w:val="8"/>
  </w:num>
  <w:num w:numId="20" w16cid:durableId="1665402256">
    <w:abstractNumId w:val="10"/>
  </w:num>
  <w:num w:numId="21" w16cid:durableId="1369257616">
    <w:abstractNumId w:val="9"/>
  </w:num>
  <w:num w:numId="22" w16cid:durableId="93013761">
    <w:abstractNumId w:val="17"/>
  </w:num>
  <w:num w:numId="23" w16cid:durableId="1922833302">
    <w:abstractNumId w:val="0"/>
  </w:num>
  <w:num w:numId="24" w16cid:durableId="1045452351">
    <w:abstractNumId w:val="31"/>
  </w:num>
  <w:num w:numId="25" w16cid:durableId="1662389728">
    <w:abstractNumId w:val="25"/>
  </w:num>
  <w:num w:numId="26" w16cid:durableId="347297799">
    <w:abstractNumId w:val="20"/>
  </w:num>
  <w:num w:numId="27" w16cid:durableId="838038350">
    <w:abstractNumId w:val="36"/>
  </w:num>
  <w:num w:numId="28" w16cid:durableId="1745836315">
    <w:abstractNumId w:val="7"/>
  </w:num>
  <w:num w:numId="29" w16cid:durableId="1300262611">
    <w:abstractNumId w:val="11"/>
  </w:num>
  <w:num w:numId="30" w16cid:durableId="1673144376">
    <w:abstractNumId w:val="32"/>
  </w:num>
  <w:num w:numId="31" w16cid:durableId="974674924">
    <w:abstractNumId w:val="30"/>
  </w:num>
  <w:num w:numId="32" w16cid:durableId="1954509488">
    <w:abstractNumId w:val="23"/>
  </w:num>
  <w:num w:numId="33" w16cid:durableId="154146222">
    <w:abstractNumId w:val="35"/>
  </w:num>
  <w:num w:numId="34" w16cid:durableId="780882713">
    <w:abstractNumId w:val="15"/>
  </w:num>
  <w:num w:numId="35" w16cid:durableId="418600911">
    <w:abstractNumId w:val="19"/>
  </w:num>
  <w:num w:numId="36" w16cid:durableId="1113551851">
    <w:abstractNumId w:val="22"/>
  </w:num>
  <w:num w:numId="37" w16cid:durableId="160421952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1D"/>
    <w:rsid w:val="0000510F"/>
    <w:rsid w:val="00006A45"/>
    <w:rsid w:val="00013F78"/>
    <w:rsid w:val="0001636A"/>
    <w:rsid w:val="00021041"/>
    <w:rsid w:val="00034621"/>
    <w:rsid w:val="0003491F"/>
    <w:rsid w:val="00041A7F"/>
    <w:rsid w:val="000420A5"/>
    <w:rsid w:val="0004496D"/>
    <w:rsid w:val="000506EB"/>
    <w:rsid w:val="0006144D"/>
    <w:rsid w:val="00061B7E"/>
    <w:rsid w:val="00070503"/>
    <w:rsid w:val="000808AF"/>
    <w:rsid w:val="000908E2"/>
    <w:rsid w:val="000A0CF7"/>
    <w:rsid w:val="000A2F98"/>
    <w:rsid w:val="000C079F"/>
    <w:rsid w:val="000C4D56"/>
    <w:rsid w:val="000C580B"/>
    <w:rsid w:val="000D37E6"/>
    <w:rsid w:val="000E0F6E"/>
    <w:rsid w:val="000F2C77"/>
    <w:rsid w:val="0010354B"/>
    <w:rsid w:val="001045AC"/>
    <w:rsid w:val="00111C85"/>
    <w:rsid w:val="0011204E"/>
    <w:rsid w:val="001246DB"/>
    <w:rsid w:val="00127C1A"/>
    <w:rsid w:val="00130036"/>
    <w:rsid w:val="00135BCC"/>
    <w:rsid w:val="0014092C"/>
    <w:rsid w:val="00145F98"/>
    <w:rsid w:val="00146A0C"/>
    <w:rsid w:val="0015101D"/>
    <w:rsid w:val="00151F51"/>
    <w:rsid w:val="0015765F"/>
    <w:rsid w:val="0016781A"/>
    <w:rsid w:val="00167C97"/>
    <w:rsid w:val="00173A05"/>
    <w:rsid w:val="00177C5C"/>
    <w:rsid w:val="0018409A"/>
    <w:rsid w:val="00185E9E"/>
    <w:rsid w:val="001A43F7"/>
    <w:rsid w:val="001A4D89"/>
    <w:rsid w:val="001A5B92"/>
    <w:rsid w:val="001A7896"/>
    <w:rsid w:val="001B0AF0"/>
    <w:rsid w:val="001D30F3"/>
    <w:rsid w:val="001E2ED8"/>
    <w:rsid w:val="001E35C3"/>
    <w:rsid w:val="001F41FA"/>
    <w:rsid w:val="002021C2"/>
    <w:rsid w:val="00203986"/>
    <w:rsid w:val="00203FBE"/>
    <w:rsid w:val="00211904"/>
    <w:rsid w:val="00213D01"/>
    <w:rsid w:val="0021625F"/>
    <w:rsid w:val="00216316"/>
    <w:rsid w:val="00216799"/>
    <w:rsid w:val="00220A61"/>
    <w:rsid w:val="00226707"/>
    <w:rsid w:val="002328CF"/>
    <w:rsid w:val="00236E50"/>
    <w:rsid w:val="002438F6"/>
    <w:rsid w:val="002476A0"/>
    <w:rsid w:val="002520C2"/>
    <w:rsid w:val="00254ADC"/>
    <w:rsid w:val="00260C59"/>
    <w:rsid w:val="00260DEE"/>
    <w:rsid w:val="00271368"/>
    <w:rsid w:val="00277320"/>
    <w:rsid w:val="002818DC"/>
    <w:rsid w:val="00286F0D"/>
    <w:rsid w:val="00287065"/>
    <w:rsid w:val="00294503"/>
    <w:rsid w:val="002A7D45"/>
    <w:rsid w:val="002B01B3"/>
    <w:rsid w:val="002B1B91"/>
    <w:rsid w:val="002B4452"/>
    <w:rsid w:val="002B5B56"/>
    <w:rsid w:val="002D6E50"/>
    <w:rsid w:val="002E071D"/>
    <w:rsid w:val="002E22F9"/>
    <w:rsid w:val="002E30A6"/>
    <w:rsid w:val="002F7FCA"/>
    <w:rsid w:val="003053D9"/>
    <w:rsid w:val="003146B5"/>
    <w:rsid w:val="00315C93"/>
    <w:rsid w:val="00317DF7"/>
    <w:rsid w:val="003239BB"/>
    <w:rsid w:val="00324F71"/>
    <w:rsid w:val="003332FE"/>
    <w:rsid w:val="003342CD"/>
    <w:rsid w:val="00335E13"/>
    <w:rsid w:val="003377E8"/>
    <w:rsid w:val="003445F8"/>
    <w:rsid w:val="00347008"/>
    <w:rsid w:val="0035045C"/>
    <w:rsid w:val="00351475"/>
    <w:rsid w:val="003537B7"/>
    <w:rsid w:val="003736F1"/>
    <w:rsid w:val="00375556"/>
    <w:rsid w:val="003771E2"/>
    <w:rsid w:val="00383A1F"/>
    <w:rsid w:val="00396FB5"/>
    <w:rsid w:val="003A023E"/>
    <w:rsid w:val="003A0D6E"/>
    <w:rsid w:val="003A146B"/>
    <w:rsid w:val="003A6168"/>
    <w:rsid w:val="003A70AF"/>
    <w:rsid w:val="003A7EFD"/>
    <w:rsid w:val="003C0ADB"/>
    <w:rsid w:val="003C2C68"/>
    <w:rsid w:val="003C349F"/>
    <w:rsid w:val="003D5078"/>
    <w:rsid w:val="003F1F75"/>
    <w:rsid w:val="003F68DA"/>
    <w:rsid w:val="00400FD3"/>
    <w:rsid w:val="00417BD9"/>
    <w:rsid w:val="004208AF"/>
    <w:rsid w:val="00421888"/>
    <w:rsid w:val="00427EBE"/>
    <w:rsid w:val="00437483"/>
    <w:rsid w:val="00437AA8"/>
    <w:rsid w:val="00445198"/>
    <w:rsid w:val="00450604"/>
    <w:rsid w:val="00454EED"/>
    <w:rsid w:val="00460159"/>
    <w:rsid w:val="004609E4"/>
    <w:rsid w:val="00461C63"/>
    <w:rsid w:val="00465252"/>
    <w:rsid w:val="00467093"/>
    <w:rsid w:val="00472635"/>
    <w:rsid w:val="00487EEC"/>
    <w:rsid w:val="004A5028"/>
    <w:rsid w:val="004B124F"/>
    <w:rsid w:val="004B217C"/>
    <w:rsid w:val="004B67E0"/>
    <w:rsid w:val="004B70A5"/>
    <w:rsid w:val="004C211E"/>
    <w:rsid w:val="004D4F14"/>
    <w:rsid w:val="004E39EA"/>
    <w:rsid w:val="004E5603"/>
    <w:rsid w:val="004F162D"/>
    <w:rsid w:val="004F29F2"/>
    <w:rsid w:val="004F65B5"/>
    <w:rsid w:val="004F6E01"/>
    <w:rsid w:val="00504E50"/>
    <w:rsid w:val="00511B74"/>
    <w:rsid w:val="00513119"/>
    <w:rsid w:val="00513933"/>
    <w:rsid w:val="00513D90"/>
    <w:rsid w:val="00517994"/>
    <w:rsid w:val="005215B4"/>
    <w:rsid w:val="00523242"/>
    <w:rsid w:val="00526AAF"/>
    <w:rsid w:val="00526D82"/>
    <w:rsid w:val="005272EB"/>
    <w:rsid w:val="00536E45"/>
    <w:rsid w:val="00543F0A"/>
    <w:rsid w:val="00550565"/>
    <w:rsid w:val="00552C5A"/>
    <w:rsid w:val="00554EDF"/>
    <w:rsid w:val="005561E6"/>
    <w:rsid w:val="00560D38"/>
    <w:rsid w:val="005613FC"/>
    <w:rsid w:val="00570B9D"/>
    <w:rsid w:val="005727A3"/>
    <w:rsid w:val="005813EB"/>
    <w:rsid w:val="00596885"/>
    <w:rsid w:val="005B01C0"/>
    <w:rsid w:val="005B1880"/>
    <w:rsid w:val="005B2476"/>
    <w:rsid w:val="005B57FD"/>
    <w:rsid w:val="005C2021"/>
    <w:rsid w:val="005C33D9"/>
    <w:rsid w:val="005C692F"/>
    <w:rsid w:val="005D2DA9"/>
    <w:rsid w:val="005D31D2"/>
    <w:rsid w:val="005D3D0B"/>
    <w:rsid w:val="005D5300"/>
    <w:rsid w:val="005E67DA"/>
    <w:rsid w:val="005F046F"/>
    <w:rsid w:val="00614E84"/>
    <w:rsid w:val="006211AD"/>
    <w:rsid w:val="0062596F"/>
    <w:rsid w:val="00625D1E"/>
    <w:rsid w:val="00626577"/>
    <w:rsid w:val="00632E25"/>
    <w:rsid w:val="006343ED"/>
    <w:rsid w:val="00635CFA"/>
    <w:rsid w:val="00643267"/>
    <w:rsid w:val="006501AF"/>
    <w:rsid w:val="00661595"/>
    <w:rsid w:val="00662C20"/>
    <w:rsid w:val="0066664A"/>
    <w:rsid w:val="00667A1A"/>
    <w:rsid w:val="006714EF"/>
    <w:rsid w:val="00673170"/>
    <w:rsid w:val="00673467"/>
    <w:rsid w:val="006762F7"/>
    <w:rsid w:val="00680BB7"/>
    <w:rsid w:val="00696E8B"/>
    <w:rsid w:val="006B188D"/>
    <w:rsid w:val="006B22B4"/>
    <w:rsid w:val="006B2AE0"/>
    <w:rsid w:val="006C3688"/>
    <w:rsid w:val="006D1023"/>
    <w:rsid w:val="006D1701"/>
    <w:rsid w:val="006D331D"/>
    <w:rsid w:val="006D70F9"/>
    <w:rsid w:val="006E0D9C"/>
    <w:rsid w:val="006E0FD1"/>
    <w:rsid w:val="006E445F"/>
    <w:rsid w:val="006E6448"/>
    <w:rsid w:val="006E7AB5"/>
    <w:rsid w:val="006F4524"/>
    <w:rsid w:val="006F7CE1"/>
    <w:rsid w:val="007013FD"/>
    <w:rsid w:val="00701D85"/>
    <w:rsid w:val="0070462C"/>
    <w:rsid w:val="00713A15"/>
    <w:rsid w:val="00714417"/>
    <w:rsid w:val="0071453B"/>
    <w:rsid w:val="00720ACB"/>
    <w:rsid w:val="00722286"/>
    <w:rsid w:val="007257D0"/>
    <w:rsid w:val="00726993"/>
    <w:rsid w:val="00744E7F"/>
    <w:rsid w:val="00745BEC"/>
    <w:rsid w:val="007470F9"/>
    <w:rsid w:val="00754039"/>
    <w:rsid w:val="0078523C"/>
    <w:rsid w:val="007870E8"/>
    <w:rsid w:val="00793D67"/>
    <w:rsid w:val="007A2148"/>
    <w:rsid w:val="007A6C9A"/>
    <w:rsid w:val="007B5200"/>
    <w:rsid w:val="007C16A5"/>
    <w:rsid w:val="007C67E1"/>
    <w:rsid w:val="007D6F88"/>
    <w:rsid w:val="007E7A76"/>
    <w:rsid w:val="007F0099"/>
    <w:rsid w:val="007F044E"/>
    <w:rsid w:val="00806E24"/>
    <w:rsid w:val="0081153C"/>
    <w:rsid w:val="0081304B"/>
    <w:rsid w:val="00831F54"/>
    <w:rsid w:val="00836F5E"/>
    <w:rsid w:val="00843F3E"/>
    <w:rsid w:val="0084525B"/>
    <w:rsid w:val="00846123"/>
    <w:rsid w:val="00846762"/>
    <w:rsid w:val="00850A3D"/>
    <w:rsid w:val="00851BD2"/>
    <w:rsid w:val="00860C3E"/>
    <w:rsid w:val="00862832"/>
    <w:rsid w:val="00871539"/>
    <w:rsid w:val="00871808"/>
    <w:rsid w:val="00874582"/>
    <w:rsid w:val="00886814"/>
    <w:rsid w:val="008939F5"/>
    <w:rsid w:val="00893F13"/>
    <w:rsid w:val="0089558C"/>
    <w:rsid w:val="008C3503"/>
    <w:rsid w:val="008C45AA"/>
    <w:rsid w:val="008C77CB"/>
    <w:rsid w:val="008D2CD7"/>
    <w:rsid w:val="008E2544"/>
    <w:rsid w:val="008E3F54"/>
    <w:rsid w:val="008E4870"/>
    <w:rsid w:val="008E64F7"/>
    <w:rsid w:val="008E7727"/>
    <w:rsid w:val="008E7ADE"/>
    <w:rsid w:val="008F2A51"/>
    <w:rsid w:val="009036F2"/>
    <w:rsid w:val="00903FEA"/>
    <w:rsid w:val="00913813"/>
    <w:rsid w:val="0092482B"/>
    <w:rsid w:val="00925556"/>
    <w:rsid w:val="00930A81"/>
    <w:rsid w:val="00931347"/>
    <w:rsid w:val="009320F7"/>
    <w:rsid w:val="00936E39"/>
    <w:rsid w:val="0093798E"/>
    <w:rsid w:val="00937A7A"/>
    <w:rsid w:val="00940A09"/>
    <w:rsid w:val="00943F9F"/>
    <w:rsid w:val="00957024"/>
    <w:rsid w:val="009600C4"/>
    <w:rsid w:val="00975025"/>
    <w:rsid w:val="009774D1"/>
    <w:rsid w:val="00984643"/>
    <w:rsid w:val="00997552"/>
    <w:rsid w:val="009A4AA7"/>
    <w:rsid w:val="009A534B"/>
    <w:rsid w:val="009B1399"/>
    <w:rsid w:val="009B29C3"/>
    <w:rsid w:val="009C29FF"/>
    <w:rsid w:val="009D0C31"/>
    <w:rsid w:val="009D7C57"/>
    <w:rsid w:val="009E01DD"/>
    <w:rsid w:val="009E7761"/>
    <w:rsid w:val="009F0EB8"/>
    <w:rsid w:val="009F4095"/>
    <w:rsid w:val="009F627C"/>
    <w:rsid w:val="009F715C"/>
    <w:rsid w:val="00A15CED"/>
    <w:rsid w:val="00A20421"/>
    <w:rsid w:val="00A24885"/>
    <w:rsid w:val="00A34587"/>
    <w:rsid w:val="00A42943"/>
    <w:rsid w:val="00A44238"/>
    <w:rsid w:val="00A442CF"/>
    <w:rsid w:val="00A54131"/>
    <w:rsid w:val="00A54DAF"/>
    <w:rsid w:val="00A65635"/>
    <w:rsid w:val="00A83015"/>
    <w:rsid w:val="00A8375F"/>
    <w:rsid w:val="00A979C7"/>
    <w:rsid w:val="00AA7D99"/>
    <w:rsid w:val="00AB26CD"/>
    <w:rsid w:val="00AB5A61"/>
    <w:rsid w:val="00AC2C18"/>
    <w:rsid w:val="00AC2DEE"/>
    <w:rsid w:val="00AC6CF4"/>
    <w:rsid w:val="00AD4B91"/>
    <w:rsid w:val="00AD56E6"/>
    <w:rsid w:val="00AE43D4"/>
    <w:rsid w:val="00AF3A26"/>
    <w:rsid w:val="00AF42A4"/>
    <w:rsid w:val="00B00822"/>
    <w:rsid w:val="00B15021"/>
    <w:rsid w:val="00B163B9"/>
    <w:rsid w:val="00B20456"/>
    <w:rsid w:val="00B27FC0"/>
    <w:rsid w:val="00B32F0F"/>
    <w:rsid w:val="00B36A79"/>
    <w:rsid w:val="00B440B8"/>
    <w:rsid w:val="00B452D5"/>
    <w:rsid w:val="00B45699"/>
    <w:rsid w:val="00B54C46"/>
    <w:rsid w:val="00B5787E"/>
    <w:rsid w:val="00B61889"/>
    <w:rsid w:val="00B64703"/>
    <w:rsid w:val="00B67037"/>
    <w:rsid w:val="00B736AC"/>
    <w:rsid w:val="00B86812"/>
    <w:rsid w:val="00B86C68"/>
    <w:rsid w:val="00B91563"/>
    <w:rsid w:val="00B92174"/>
    <w:rsid w:val="00B96B04"/>
    <w:rsid w:val="00BC043B"/>
    <w:rsid w:val="00BD3EAA"/>
    <w:rsid w:val="00BD5C9A"/>
    <w:rsid w:val="00BE0525"/>
    <w:rsid w:val="00BE31DB"/>
    <w:rsid w:val="00BE5D70"/>
    <w:rsid w:val="00BF18B6"/>
    <w:rsid w:val="00BF608A"/>
    <w:rsid w:val="00C145D7"/>
    <w:rsid w:val="00C15976"/>
    <w:rsid w:val="00C2129B"/>
    <w:rsid w:val="00C25129"/>
    <w:rsid w:val="00C27E99"/>
    <w:rsid w:val="00C30FBA"/>
    <w:rsid w:val="00C474F0"/>
    <w:rsid w:val="00C5117A"/>
    <w:rsid w:val="00C610E7"/>
    <w:rsid w:val="00C71BFD"/>
    <w:rsid w:val="00C7593C"/>
    <w:rsid w:val="00C86776"/>
    <w:rsid w:val="00C909D8"/>
    <w:rsid w:val="00C90F4D"/>
    <w:rsid w:val="00C91242"/>
    <w:rsid w:val="00C929DC"/>
    <w:rsid w:val="00CC11B5"/>
    <w:rsid w:val="00CC41DA"/>
    <w:rsid w:val="00CD64E3"/>
    <w:rsid w:val="00CE2769"/>
    <w:rsid w:val="00CF3EC5"/>
    <w:rsid w:val="00CF6282"/>
    <w:rsid w:val="00D011D8"/>
    <w:rsid w:val="00D01A8E"/>
    <w:rsid w:val="00D05A43"/>
    <w:rsid w:val="00D104B3"/>
    <w:rsid w:val="00D11F67"/>
    <w:rsid w:val="00D13372"/>
    <w:rsid w:val="00D153CE"/>
    <w:rsid w:val="00D212D1"/>
    <w:rsid w:val="00D33C03"/>
    <w:rsid w:val="00D44D5B"/>
    <w:rsid w:val="00D4557B"/>
    <w:rsid w:val="00D46E6A"/>
    <w:rsid w:val="00D5164A"/>
    <w:rsid w:val="00D51A93"/>
    <w:rsid w:val="00D51F1C"/>
    <w:rsid w:val="00D565C2"/>
    <w:rsid w:val="00D62249"/>
    <w:rsid w:val="00D6379F"/>
    <w:rsid w:val="00D64897"/>
    <w:rsid w:val="00D65366"/>
    <w:rsid w:val="00D70136"/>
    <w:rsid w:val="00D77038"/>
    <w:rsid w:val="00D90746"/>
    <w:rsid w:val="00D91573"/>
    <w:rsid w:val="00D91B26"/>
    <w:rsid w:val="00D9517F"/>
    <w:rsid w:val="00DC72C2"/>
    <w:rsid w:val="00DC72D5"/>
    <w:rsid w:val="00DC7843"/>
    <w:rsid w:val="00DE1441"/>
    <w:rsid w:val="00DF075B"/>
    <w:rsid w:val="00DF422E"/>
    <w:rsid w:val="00DF60D3"/>
    <w:rsid w:val="00DF657E"/>
    <w:rsid w:val="00E0200F"/>
    <w:rsid w:val="00E1237C"/>
    <w:rsid w:val="00E16278"/>
    <w:rsid w:val="00E203EA"/>
    <w:rsid w:val="00E30BBD"/>
    <w:rsid w:val="00E3156D"/>
    <w:rsid w:val="00E322F7"/>
    <w:rsid w:val="00E41402"/>
    <w:rsid w:val="00E50008"/>
    <w:rsid w:val="00E50535"/>
    <w:rsid w:val="00E51565"/>
    <w:rsid w:val="00E52B2F"/>
    <w:rsid w:val="00E67416"/>
    <w:rsid w:val="00E736D7"/>
    <w:rsid w:val="00E75D87"/>
    <w:rsid w:val="00E767E6"/>
    <w:rsid w:val="00E771A4"/>
    <w:rsid w:val="00E816DD"/>
    <w:rsid w:val="00E823F8"/>
    <w:rsid w:val="00E850DA"/>
    <w:rsid w:val="00E916F9"/>
    <w:rsid w:val="00E95C3C"/>
    <w:rsid w:val="00EA2130"/>
    <w:rsid w:val="00EA24B6"/>
    <w:rsid w:val="00EA37AA"/>
    <w:rsid w:val="00EA4522"/>
    <w:rsid w:val="00EB0FB7"/>
    <w:rsid w:val="00EB6518"/>
    <w:rsid w:val="00EC2189"/>
    <w:rsid w:val="00EC7433"/>
    <w:rsid w:val="00ED0217"/>
    <w:rsid w:val="00ED1801"/>
    <w:rsid w:val="00ED22D4"/>
    <w:rsid w:val="00ED3C9B"/>
    <w:rsid w:val="00ED3FAB"/>
    <w:rsid w:val="00EE2AB0"/>
    <w:rsid w:val="00EE412D"/>
    <w:rsid w:val="00EE5A9C"/>
    <w:rsid w:val="00EF186E"/>
    <w:rsid w:val="00EF67BD"/>
    <w:rsid w:val="00EF67CE"/>
    <w:rsid w:val="00F11339"/>
    <w:rsid w:val="00F12A86"/>
    <w:rsid w:val="00F27931"/>
    <w:rsid w:val="00F339AA"/>
    <w:rsid w:val="00F41351"/>
    <w:rsid w:val="00F41AF3"/>
    <w:rsid w:val="00F51CB8"/>
    <w:rsid w:val="00F57C27"/>
    <w:rsid w:val="00F65E8C"/>
    <w:rsid w:val="00F669DE"/>
    <w:rsid w:val="00F80182"/>
    <w:rsid w:val="00F944CE"/>
    <w:rsid w:val="00F953BC"/>
    <w:rsid w:val="00F973EF"/>
    <w:rsid w:val="00FA1C30"/>
    <w:rsid w:val="00FA68E4"/>
    <w:rsid w:val="00FD12ED"/>
    <w:rsid w:val="00FD3673"/>
    <w:rsid w:val="00FD485B"/>
    <w:rsid w:val="00FD55A8"/>
    <w:rsid w:val="00FD56EF"/>
    <w:rsid w:val="00FE1DE2"/>
    <w:rsid w:val="00FE5584"/>
    <w:rsid w:val="00FE5EDE"/>
    <w:rsid w:val="00FE6D14"/>
    <w:rsid w:val="00FF0C50"/>
    <w:rsid w:val="00FF10D3"/>
    <w:rsid w:val="00FF5E3A"/>
    <w:rsid w:val="00FF779D"/>
    <w:rsid w:val="00FF79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E7E3"/>
  <w15:docId w15:val="{86E41FF1-AB4B-4943-BE7A-17FE777E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331D"/>
    <w:pPr>
      <w:spacing w:after="0" w:line="26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31D"/>
    <w:pPr>
      <w:ind w:left="720"/>
      <w:contextualSpacing/>
    </w:pPr>
  </w:style>
  <w:style w:type="paragraph" w:styleId="Header">
    <w:name w:val="header"/>
    <w:basedOn w:val="Normal"/>
    <w:link w:val="HeaderChar"/>
    <w:uiPriority w:val="99"/>
    <w:unhideWhenUsed/>
    <w:rsid w:val="00130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036"/>
  </w:style>
  <w:style w:type="paragraph" w:styleId="Footer">
    <w:name w:val="footer"/>
    <w:basedOn w:val="Normal"/>
    <w:link w:val="FooterChar"/>
    <w:uiPriority w:val="99"/>
    <w:unhideWhenUsed/>
    <w:rsid w:val="00130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036"/>
  </w:style>
  <w:style w:type="paragraph" w:styleId="FootnoteText">
    <w:name w:val="footnote text"/>
    <w:basedOn w:val="Normal"/>
    <w:link w:val="FootnoteTextChar"/>
    <w:uiPriority w:val="99"/>
    <w:semiHidden/>
    <w:unhideWhenUsed/>
    <w:rsid w:val="00634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3ED"/>
    <w:rPr>
      <w:sz w:val="20"/>
      <w:szCs w:val="20"/>
    </w:rPr>
  </w:style>
  <w:style w:type="character" w:styleId="FootnoteReference">
    <w:name w:val="footnote reference"/>
    <w:basedOn w:val="DefaultParagraphFont"/>
    <w:uiPriority w:val="99"/>
    <w:semiHidden/>
    <w:unhideWhenUsed/>
    <w:rsid w:val="006343ED"/>
    <w:rPr>
      <w:vertAlign w:val="superscript"/>
    </w:rPr>
  </w:style>
  <w:style w:type="paragraph" w:styleId="BalloonText">
    <w:name w:val="Balloon Text"/>
    <w:basedOn w:val="Normal"/>
    <w:link w:val="BalloonTextChar"/>
    <w:uiPriority w:val="99"/>
    <w:semiHidden/>
    <w:unhideWhenUsed/>
    <w:rsid w:val="004B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7E0"/>
    <w:rPr>
      <w:rFonts w:ascii="Tahoma" w:hAnsi="Tahoma" w:cs="Tahoma"/>
      <w:sz w:val="16"/>
      <w:szCs w:val="16"/>
    </w:rPr>
  </w:style>
  <w:style w:type="paragraph" w:customStyle="1" w:styleId="Default">
    <w:name w:val="Default"/>
    <w:rsid w:val="003F1F7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774D1"/>
    <w:rPr>
      <w:sz w:val="16"/>
      <w:szCs w:val="16"/>
    </w:rPr>
  </w:style>
  <w:style w:type="paragraph" w:styleId="CommentText">
    <w:name w:val="annotation text"/>
    <w:basedOn w:val="Normal"/>
    <w:link w:val="CommentTextChar"/>
    <w:uiPriority w:val="99"/>
    <w:semiHidden/>
    <w:unhideWhenUsed/>
    <w:rsid w:val="009774D1"/>
    <w:pPr>
      <w:spacing w:line="240" w:lineRule="auto"/>
    </w:pPr>
    <w:rPr>
      <w:sz w:val="20"/>
      <w:szCs w:val="20"/>
    </w:rPr>
  </w:style>
  <w:style w:type="character" w:customStyle="1" w:styleId="CommentTextChar">
    <w:name w:val="Comment Text Char"/>
    <w:basedOn w:val="DefaultParagraphFont"/>
    <w:link w:val="CommentText"/>
    <w:uiPriority w:val="99"/>
    <w:semiHidden/>
    <w:rsid w:val="009774D1"/>
    <w:rPr>
      <w:sz w:val="20"/>
      <w:szCs w:val="20"/>
    </w:rPr>
  </w:style>
  <w:style w:type="character" w:styleId="Hyperlink">
    <w:name w:val="Hyperlink"/>
    <w:basedOn w:val="DefaultParagraphFont"/>
    <w:uiPriority w:val="99"/>
    <w:unhideWhenUsed/>
    <w:rsid w:val="00013F7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E5D70"/>
    <w:rPr>
      <w:b/>
      <w:bCs/>
    </w:rPr>
  </w:style>
  <w:style w:type="character" w:customStyle="1" w:styleId="CommentSubjectChar">
    <w:name w:val="Comment Subject Char"/>
    <w:basedOn w:val="CommentTextChar"/>
    <w:link w:val="CommentSubject"/>
    <w:uiPriority w:val="99"/>
    <w:semiHidden/>
    <w:rsid w:val="00BE5D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12722">
      <w:bodyDiv w:val="1"/>
      <w:marLeft w:val="0"/>
      <w:marRight w:val="0"/>
      <w:marTop w:val="0"/>
      <w:marBottom w:val="0"/>
      <w:divBdr>
        <w:top w:val="none" w:sz="0" w:space="0" w:color="auto"/>
        <w:left w:val="none" w:sz="0" w:space="0" w:color="auto"/>
        <w:bottom w:val="none" w:sz="0" w:space="0" w:color="auto"/>
        <w:right w:val="none" w:sz="0" w:space="0" w:color="auto"/>
      </w:divBdr>
    </w:div>
    <w:div w:id="865362530">
      <w:bodyDiv w:val="1"/>
      <w:marLeft w:val="0"/>
      <w:marRight w:val="0"/>
      <w:marTop w:val="0"/>
      <w:marBottom w:val="0"/>
      <w:divBdr>
        <w:top w:val="none" w:sz="0" w:space="0" w:color="auto"/>
        <w:left w:val="none" w:sz="0" w:space="0" w:color="auto"/>
        <w:bottom w:val="none" w:sz="0" w:space="0" w:color="auto"/>
        <w:right w:val="none" w:sz="0" w:space="0" w:color="auto"/>
      </w:divBdr>
    </w:div>
    <w:div w:id="901135993">
      <w:bodyDiv w:val="1"/>
      <w:marLeft w:val="0"/>
      <w:marRight w:val="0"/>
      <w:marTop w:val="0"/>
      <w:marBottom w:val="0"/>
      <w:divBdr>
        <w:top w:val="none" w:sz="0" w:space="0" w:color="auto"/>
        <w:left w:val="none" w:sz="0" w:space="0" w:color="auto"/>
        <w:bottom w:val="none" w:sz="0" w:space="0" w:color="auto"/>
        <w:right w:val="none" w:sz="0" w:space="0" w:color="auto"/>
      </w:divBdr>
    </w:div>
    <w:div w:id="930702071">
      <w:bodyDiv w:val="1"/>
      <w:marLeft w:val="0"/>
      <w:marRight w:val="0"/>
      <w:marTop w:val="0"/>
      <w:marBottom w:val="0"/>
      <w:divBdr>
        <w:top w:val="none" w:sz="0" w:space="0" w:color="auto"/>
        <w:left w:val="none" w:sz="0" w:space="0" w:color="auto"/>
        <w:bottom w:val="none" w:sz="0" w:space="0" w:color="auto"/>
        <w:right w:val="none" w:sz="0" w:space="0" w:color="auto"/>
      </w:divBdr>
    </w:div>
    <w:div w:id="124356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CBF8D8E106F4E87ABF5B72BD35681" ma:contentTypeVersion="17" ma:contentTypeDescription="Create a new document." ma:contentTypeScope="" ma:versionID="3a050785601cef77c420e61849cfc74b">
  <xsd:schema xmlns:xsd="http://www.w3.org/2001/XMLSchema" xmlns:xs="http://www.w3.org/2001/XMLSchema" xmlns:p="http://schemas.microsoft.com/office/2006/metadata/properties" xmlns:ns1="http://schemas.microsoft.com/sharepoint/v3" xmlns:ns3="6f115ece-0ade-4e1e-8d12-ac2396b52811" xmlns:ns4="d9a81ee3-ad33-4fbb-a034-e9d9300aefe1" targetNamespace="http://schemas.microsoft.com/office/2006/metadata/properties" ma:root="true" ma:fieldsID="68916fdf2329e47bac4e7598a526c9b8" ns1:_="" ns3:_="" ns4:_="">
    <xsd:import namespace="http://schemas.microsoft.com/sharepoint/v3"/>
    <xsd:import namespace="6f115ece-0ade-4e1e-8d12-ac2396b52811"/>
    <xsd:import namespace="d9a81ee3-ad33-4fbb-a034-e9d9300aef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15ece-0ade-4e1e-8d12-ac2396b52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a81ee3-ad33-4fbb-a034-e9d9300aef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6f115ece-0ade-4e1e-8d12-ac2396b528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2F4F-987F-4833-8249-EF638E35E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115ece-0ade-4e1e-8d12-ac2396b52811"/>
    <ds:schemaRef ds:uri="d9a81ee3-ad33-4fbb-a034-e9d9300ae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34294-4DD9-47D7-97D1-DD408D07AC65}">
  <ds:schemaRefs>
    <ds:schemaRef ds:uri="http://schemas.microsoft.com/office/2006/metadata/properties"/>
    <ds:schemaRef ds:uri="http://schemas.microsoft.com/office/infopath/2007/PartnerControls"/>
    <ds:schemaRef ds:uri="http://schemas.microsoft.com/sharepoint/v3"/>
    <ds:schemaRef ds:uri="6f115ece-0ade-4e1e-8d12-ac2396b52811"/>
  </ds:schemaRefs>
</ds:datastoreItem>
</file>

<file path=customXml/itemProps3.xml><?xml version="1.0" encoding="utf-8"?>
<ds:datastoreItem xmlns:ds="http://schemas.openxmlformats.org/officeDocument/2006/customXml" ds:itemID="{D9D5D600-F784-4A24-9589-36496DAA5740}">
  <ds:schemaRefs>
    <ds:schemaRef ds:uri="http://schemas.microsoft.com/sharepoint/v3/contenttype/forms"/>
  </ds:schemaRefs>
</ds:datastoreItem>
</file>

<file path=customXml/itemProps4.xml><?xml version="1.0" encoding="utf-8"?>
<ds:datastoreItem xmlns:ds="http://schemas.openxmlformats.org/officeDocument/2006/customXml" ds:itemID="{86570255-B7BD-47D5-8942-A817C484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Pages>
  <Words>1461</Words>
  <Characters>8328</Characters>
  <Application>Microsoft Office Word</Application>
  <DocSecurity>0</DocSecurity>
  <Lines>69</Lines>
  <Paragraphs>19</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
      <vt:lpstr/>
      <vt:lpstr/>
    </vt:vector>
  </TitlesOfParts>
  <Company>Auditor-General</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Cobus Botes</dc:creator>
  <cp:lastModifiedBy>Jan Van Schalkwyk (CE)</cp:lastModifiedBy>
  <cp:revision>157</cp:revision>
  <cp:lastPrinted>2023-05-25T05:41:00Z</cp:lastPrinted>
  <dcterms:created xsi:type="dcterms:W3CDTF">2023-05-04T13:31:00Z</dcterms:created>
  <dcterms:modified xsi:type="dcterms:W3CDTF">2023-05-26T12:42:00Z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0x010100FDACBF8D8E106F4E87ABF5B72BD35681</vt:lpwstr>
  </property>
  <property fmtid="{D5CDD505-2E9C-101B-9397-08002B2CF9AE}" pid="3" name="Order">
    <vt:r8>16140000</vt:r8>
  </property>
  <property fmtid="{D5CDD505-2E9C-101B-9397-08002B2CF9AE}" pid="4" name="AuthorIds_UIVersion_1024">
    <vt:lpwstr>24</vt:lpwstr>
  </property>
</Properties>
</file>